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CDE" w:rsidRDefault="00BA339A">
      <w:pPr>
        <w:rPr>
          <w:sz w:val="2"/>
        </w:rPr>
      </w:pPr>
      <w:r>
        <w:pict>
          <v:shapetype id="_x0000_t202" coordsize="21600,21600" o:spt="202" path="m,l,21600r21600,l21600,xe">
            <v:stroke joinstyle="miter"/>
            <v:path gradientshapeok="t" o:connecttype="rect"/>
          </v:shapetype>
          <v:shape id="_x0000_s0" o:spid="_x0000_s1033" type="#_x0000_t202" style="position:absolute;margin-left:299.35pt;margin-top:728.5pt;width:13.3pt;height:13.9pt;z-index:-251662336;mso-wrap-distance-left:0;mso-wrap-distance-right:0;mso-position-horizontal-relative:page;mso-position-vertical-relative:page" filled="f" stroked="f">
            <v:textbox inset="0,0,0,0">
              <w:txbxContent>
                <w:p w:rsidR="00875CDE" w:rsidRDefault="00BA339A">
                  <w:pPr>
                    <w:spacing w:line="276" w:lineRule="exact"/>
                    <w:textAlignment w:val="baseline"/>
                    <w:rPr>
                      <w:rFonts w:eastAsia="Times New Roman"/>
                      <w:color w:val="000000"/>
                      <w:sz w:val="24"/>
                    </w:rPr>
                  </w:pPr>
                  <w:r>
                    <w:rPr>
                      <w:rFonts w:eastAsia="Times New Roman"/>
                      <w:color w:val="000000"/>
                      <w:sz w:val="24"/>
                    </w:rPr>
                    <w:t>1</w:t>
                  </w:r>
                </w:p>
              </w:txbxContent>
            </v:textbox>
            <w10:wrap type="square" anchorx="page" anchory="page"/>
          </v:shape>
        </w:pict>
      </w:r>
    </w:p>
    <w:tbl>
      <w:tblPr>
        <w:tblW w:w="0" w:type="auto"/>
        <w:tblInd w:w="180" w:type="dxa"/>
        <w:tblLayout w:type="fixed"/>
        <w:tblCellMar>
          <w:left w:w="0" w:type="dxa"/>
          <w:right w:w="0" w:type="dxa"/>
        </w:tblCellMar>
        <w:tblLook w:val="04A0" w:firstRow="1" w:lastRow="0" w:firstColumn="1" w:lastColumn="0" w:noHBand="0" w:noVBand="1"/>
      </w:tblPr>
      <w:tblGrid>
        <w:gridCol w:w="1864"/>
        <w:gridCol w:w="68"/>
        <w:gridCol w:w="7268"/>
      </w:tblGrid>
      <w:tr w:rsidR="00875CDE">
        <w:tblPrEx>
          <w:tblCellMar>
            <w:top w:w="0" w:type="dxa"/>
            <w:bottom w:w="0" w:type="dxa"/>
          </w:tblCellMar>
        </w:tblPrEx>
        <w:trPr>
          <w:trHeight w:hRule="exact" w:val="1978"/>
        </w:trPr>
        <w:tc>
          <w:tcPr>
            <w:tcW w:w="1932" w:type="dxa"/>
            <w:gridSpan w:val="2"/>
            <w:tcBorders>
              <w:top w:val="none" w:sz="0" w:space="0" w:color="000000"/>
              <w:left w:val="none" w:sz="0" w:space="0" w:color="000000"/>
              <w:bottom w:val="single" w:sz="4" w:space="0" w:color="231F20"/>
              <w:right w:val="none" w:sz="0" w:space="0" w:color="000000"/>
            </w:tcBorders>
          </w:tcPr>
          <w:p w:rsidR="00875CDE" w:rsidRDefault="00BA339A">
            <w:pPr>
              <w:spacing w:before="10"/>
              <w:ind w:left="31"/>
              <w:jc w:val="center"/>
              <w:textAlignment w:val="baseline"/>
            </w:pPr>
            <w:r>
              <w:rPr>
                <w:noProof/>
              </w:rPr>
              <w:drawing>
                <wp:inline distT="0" distB="0" distL="0" distR="0">
                  <wp:extent cx="1207135" cy="11188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207135" cy="1118870"/>
                          </a:xfrm>
                          <a:prstGeom prst="rect">
                            <a:avLst/>
                          </a:prstGeom>
                        </pic:spPr>
                      </pic:pic>
                    </a:graphicData>
                  </a:graphic>
                </wp:inline>
              </w:drawing>
            </w:r>
          </w:p>
        </w:tc>
        <w:tc>
          <w:tcPr>
            <w:tcW w:w="7268" w:type="dxa"/>
            <w:vMerge w:val="restart"/>
            <w:tcBorders>
              <w:top w:val="none" w:sz="0" w:space="0" w:color="000000"/>
              <w:left w:val="none" w:sz="0" w:space="0" w:color="000000"/>
              <w:bottom w:val="single" w:sz="0" w:space="0" w:color="000000"/>
              <w:right w:val="none" w:sz="0" w:space="0" w:color="000000"/>
            </w:tcBorders>
          </w:tcPr>
          <w:p w:rsidR="00875CDE" w:rsidRDefault="00BA339A">
            <w:pPr>
              <w:spacing w:line="472" w:lineRule="exact"/>
              <w:ind w:right="1276"/>
              <w:jc w:val="right"/>
              <w:textAlignment w:val="baseline"/>
              <w:rPr>
                <w:rFonts w:eastAsia="Times New Roman"/>
                <w:color w:val="000000"/>
                <w:sz w:val="48"/>
              </w:rPr>
            </w:pPr>
            <w:r>
              <w:rPr>
                <w:rFonts w:eastAsia="Times New Roman"/>
                <w:color w:val="000000"/>
                <w:sz w:val="48"/>
              </w:rPr>
              <w:t>Department of History</w:t>
            </w:r>
          </w:p>
          <w:p w:rsidR="00875CDE" w:rsidRDefault="00BA339A">
            <w:pPr>
              <w:spacing w:before="78" w:line="1095" w:lineRule="exact"/>
              <w:ind w:right="1152"/>
              <w:jc w:val="right"/>
              <w:textAlignment w:val="baseline"/>
              <w:rPr>
                <w:rFonts w:eastAsia="Times New Roman"/>
                <w:color w:val="000000"/>
                <w:sz w:val="96"/>
              </w:rPr>
            </w:pPr>
            <w:r>
              <w:rPr>
                <w:rFonts w:eastAsia="Times New Roman"/>
                <w:color w:val="000000"/>
                <w:sz w:val="96"/>
              </w:rPr>
              <w:t>History Lab</w:t>
            </w:r>
          </w:p>
          <w:p w:rsidR="00875CDE" w:rsidRDefault="00BA339A">
            <w:pPr>
              <w:tabs>
                <w:tab w:val="left" w:pos="3384"/>
              </w:tabs>
              <w:spacing w:before="53" w:line="362" w:lineRule="exact"/>
              <w:ind w:right="1152"/>
              <w:jc w:val="right"/>
              <w:textAlignment w:val="baseline"/>
              <w:rPr>
                <w:rFonts w:eastAsia="Times New Roman"/>
                <w:color w:val="000000"/>
                <w:sz w:val="32"/>
              </w:rPr>
            </w:pPr>
            <w:r>
              <w:rPr>
                <w:rFonts w:eastAsia="Times New Roman"/>
                <w:color w:val="000000"/>
                <w:sz w:val="32"/>
              </w:rPr>
              <w:t>LAB 318</w:t>
            </w:r>
            <w:bookmarkStart w:id="0" w:name="_GoBack"/>
            <w:bookmarkEnd w:id="0"/>
            <w:r>
              <w:rPr>
                <w:rFonts w:eastAsia="Times New Roman"/>
                <w:color w:val="000000"/>
                <w:sz w:val="32"/>
              </w:rPr>
              <w:tab/>
            </w:r>
            <w:hyperlink r:id="rId6">
              <w:r>
                <w:rPr>
                  <w:rFonts w:eastAsia="Times New Roman"/>
                  <w:color w:val="0000FF"/>
                  <w:sz w:val="32"/>
                  <w:u w:val="single"/>
                </w:rPr>
                <w:t>historylab@usm.edu</w:t>
              </w:r>
            </w:hyperlink>
          </w:p>
        </w:tc>
      </w:tr>
      <w:tr w:rsidR="00875CDE">
        <w:tblPrEx>
          <w:tblCellMar>
            <w:top w:w="0" w:type="dxa"/>
            <w:bottom w:w="0" w:type="dxa"/>
          </w:tblCellMar>
        </w:tblPrEx>
        <w:trPr>
          <w:trHeight w:hRule="exact" w:val="84"/>
        </w:trPr>
        <w:tc>
          <w:tcPr>
            <w:tcW w:w="1864" w:type="dxa"/>
            <w:tcBorders>
              <w:top w:val="single" w:sz="4" w:space="0" w:color="231F20"/>
              <w:left w:val="none" w:sz="0" w:space="0" w:color="000000"/>
              <w:bottom w:val="none" w:sz="0" w:space="0" w:color="000000"/>
              <w:right w:val="none" w:sz="0" w:space="0" w:color="000000"/>
            </w:tcBorders>
          </w:tcPr>
          <w:p w:rsidR="00875CDE" w:rsidRDefault="00875CDE"/>
        </w:tc>
        <w:tc>
          <w:tcPr>
            <w:tcW w:w="68" w:type="dxa"/>
            <w:tcBorders>
              <w:top w:val="none" w:sz="0" w:space="0" w:color="000000"/>
              <w:left w:val="none" w:sz="0" w:space="0" w:color="000000"/>
              <w:bottom w:val="none" w:sz="0" w:space="0" w:color="000000"/>
              <w:right w:val="none" w:sz="0" w:space="0" w:color="000000"/>
            </w:tcBorders>
          </w:tcPr>
          <w:p w:rsidR="00875CDE" w:rsidRDefault="00875CDE"/>
        </w:tc>
        <w:tc>
          <w:tcPr>
            <w:tcW w:w="7268" w:type="dxa"/>
            <w:vMerge/>
            <w:tcBorders>
              <w:top w:val="single" w:sz="0" w:space="0" w:color="000000"/>
              <w:left w:val="none" w:sz="0" w:space="0" w:color="000000"/>
              <w:bottom w:val="none" w:sz="0" w:space="0" w:color="000000"/>
              <w:right w:val="none" w:sz="0" w:space="0" w:color="000000"/>
            </w:tcBorders>
          </w:tcPr>
          <w:p w:rsidR="00875CDE" w:rsidRDefault="00875CDE"/>
        </w:tc>
      </w:tr>
    </w:tbl>
    <w:p w:rsidR="00875CDE" w:rsidRDefault="00875CDE">
      <w:pPr>
        <w:spacing w:after="952" w:line="20" w:lineRule="exact"/>
      </w:pPr>
    </w:p>
    <w:p w:rsidR="00875CDE" w:rsidRDefault="00BA339A">
      <w:pPr>
        <w:spacing w:before="9" w:line="455" w:lineRule="exact"/>
        <w:ind w:left="216"/>
        <w:textAlignment w:val="baseline"/>
        <w:rPr>
          <w:rFonts w:eastAsia="Times New Roman"/>
          <w:b/>
          <w:color w:val="000000"/>
          <w:sz w:val="40"/>
        </w:rPr>
      </w:pPr>
      <w:r>
        <w:rPr>
          <w:rFonts w:eastAsia="Times New Roman"/>
          <w:b/>
          <w:color w:val="000000"/>
          <w:sz w:val="40"/>
        </w:rPr>
        <w:t>Documenting Periodicals and Miscellaneous Sources</w:t>
      </w:r>
    </w:p>
    <w:p w:rsidR="00875CDE" w:rsidRDefault="00BA339A">
      <w:pPr>
        <w:spacing w:before="201" w:line="297" w:lineRule="exact"/>
        <w:ind w:left="360" w:firstLine="360"/>
        <w:textAlignment w:val="baseline"/>
        <w:rPr>
          <w:rFonts w:eastAsia="Times New Roman"/>
          <w:color w:val="000000"/>
          <w:sz w:val="24"/>
        </w:rPr>
      </w:pPr>
      <w:r>
        <w:rPr>
          <w:rFonts w:eastAsia="Times New Roman"/>
          <w:color w:val="000000"/>
          <w:sz w:val="24"/>
        </w:rPr>
        <w:t>For every source in your paper, you must provide complete bibliographical information so your reader will know where you got the information. This allows your readers to find the sources in order to evaluate your interpretation of them or read more extensi</w:t>
      </w:r>
      <w:r>
        <w:rPr>
          <w:rFonts w:eastAsia="Times New Roman"/>
          <w:color w:val="000000"/>
          <w:sz w:val="24"/>
        </w:rPr>
        <w:t>vely from them to gain a deeper understanding of the topic. There are numerous ways to document sources, and most academic disciplines have their own preferred methods and style manuals to guide the way. While each historian is different and opinions are i</w:t>
      </w:r>
      <w:r>
        <w:rPr>
          <w:rFonts w:eastAsia="Times New Roman"/>
          <w:color w:val="000000"/>
          <w:sz w:val="24"/>
        </w:rPr>
        <w:t xml:space="preserve">n a constant state of flux, the most widely used manual for historians continues to be </w:t>
      </w:r>
      <w:r>
        <w:rPr>
          <w:rFonts w:eastAsia="Times New Roman"/>
          <w:i/>
          <w:color w:val="000000"/>
          <w:sz w:val="24"/>
        </w:rPr>
        <w:t>The Chicago Manual of Style</w:t>
      </w:r>
      <w:r>
        <w:rPr>
          <w:rFonts w:eastAsia="Times New Roman"/>
          <w:color w:val="000000"/>
          <w:sz w:val="24"/>
        </w:rPr>
        <w:t>.</w:t>
      </w:r>
      <w:r>
        <w:rPr>
          <w:rFonts w:eastAsia="Times New Roman"/>
          <w:color w:val="000000"/>
          <w:sz w:val="24"/>
          <w:vertAlign w:val="superscript"/>
        </w:rPr>
        <w:t>1</w:t>
      </w:r>
    </w:p>
    <w:p w:rsidR="00875CDE" w:rsidRDefault="00BA339A">
      <w:pPr>
        <w:spacing w:line="294" w:lineRule="exact"/>
        <w:ind w:left="360" w:right="72" w:firstLine="360"/>
        <w:textAlignment w:val="baseline"/>
        <w:rPr>
          <w:rFonts w:eastAsia="Times New Roman"/>
          <w:i/>
          <w:color w:val="000000"/>
          <w:sz w:val="24"/>
        </w:rPr>
      </w:pPr>
      <w:r>
        <w:rPr>
          <w:rFonts w:eastAsia="Times New Roman"/>
          <w:i/>
          <w:color w:val="000000"/>
          <w:sz w:val="24"/>
        </w:rPr>
        <w:t xml:space="preserve">The Chicago Manual of Style </w:t>
      </w:r>
      <w:r>
        <w:rPr>
          <w:rFonts w:eastAsia="Times New Roman"/>
          <w:color w:val="000000"/>
          <w:sz w:val="24"/>
        </w:rPr>
        <w:t xml:space="preserve">uses a system of footnotes or endnotes for documentation, along with a bibliography. </w:t>
      </w:r>
      <w:proofErr w:type="gramStart"/>
      <w:r>
        <w:rPr>
          <w:rFonts w:eastAsia="Times New Roman"/>
          <w:color w:val="000000"/>
          <w:sz w:val="24"/>
        </w:rPr>
        <w:t xml:space="preserve">Kate </w:t>
      </w:r>
      <w:proofErr w:type="spellStart"/>
      <w:r>
        <w:rPr>
          <w:rFonts w:eastAsia="Times New Roman"/>
          <w:color w:val="000000"/>
          <w:sz w:val="24"/>
        </w:rPr>
        <w:t>Turabian’s</w:t>
      </w:r>
      <w:proofErr w:type="spellEnd"/>
      <w:r>
        <w:rPr>
          <w:rFonts w:eastAsia="Times New Roman"/>
          <w:color w:val="000000"/>
          <w:sz w:val="24"/>
        </w:rPr>
        <w:t xml:space="preserve"> </w:t>
      </w:r>
      <w:r>
        <w:rPr>
          <w:rFonts w:eastAsia="Times New Roman"/>
          <w:i/>
          <w:color w:val="000000"/>
          <w:sz w:val="24"/>
        </w:rPr>
        <w:t>A Manual f</w:t>
      </w:r>
      <w:r>
        <w:rPr>
          <w:rFonts w:eastAsia="Times New Roman"/>
          <w:i/>
          <w:color w:val="000000"/>
          <w:sz w:val="24"/>
        </w:rPr>
        <w:t xml:space="preserve">or Writers of Research Papers, Theses, and Dissertations </w:t>
      </w:r>
      <w:r>
        <w:rPr>
          <w:rFonts w:eastAsia="Times New Roman"/>
          <w:color w:val="000000"/>
          <w:sz w:val="24"/>
        </w:rPr>
        <w:t xml:space="preserve">and Mary Lynn </w:t>
      </w:r>
      <w:proofErr w:type="spellStart"/>
      <w:r>
        <w:rPr>
          <w:rFonts w:eastAsia="Times New Roman"/>
          <w:color w:val="000000"/>
          <w:sz w:val="24"/>
        </w:rPr>
        <w:t>Rampolla’s</w:t>
      </w:r>
      <w:proofErr w:type="spellEnd"/>
      <w:r>
        <w:rPr>
          <w:rFonts w:eastAsia="Times New Roman"/>
          <w:color w:val="000000"/>
          <w:sz w:val="24"/>
        </w:rPr>
        <w:t xml:space="preserve"> </w:t>
      </w:r>
      <w:r>
        <w:rPr>
          <w:rFonts w:eastAsia="Times New Roman"/>
          <w:i/>
          <w:color w:val="000000"/>
          <w:sz w:val="24"/>
        </w:rPr>
        <w:t xml:space="preserve">A Pocket Guide to Writing History </w:t>
      </w:r>
      <w:r>
        <w:rPr>
          <w:rFonts w:eastAsia="Times New Roman"/>
          <w:color w:val="000000"/>
          <w:sz w:val="24"/>
        </w:rPr>
        <w:t>are also widely used by historians, since they are both based on the Chicago system of documentation.</w:t>
      </w:r>
      <w:r>
        <w:rPr>
          <w:rFonts w:eastAsia="Times New Roman"/>
          <w:color w:val="000000"/>
          <w:sz w:val="24"/>
          <w:vertAlign w:val="superscript"/>
        </w:rPr>
        <w:t>2</w:t>
      </w:r>
      <w:r>
        <w:rPr>
          <w:rFonts w:eastAsia="Times New Roman"/>
          <w:color w:val="000000"/>
          <w:sz w:val="24"/>
        </w:rPr>
        <w:t xml:space="preserve"> Most historians, feeling the system i</w:t>
      </w:r>
      <w:r>
        <w:rPr>
          <w:rFonts w:eastAsia="Times New Roman"/>
          <w:color w:val="000000"/>
          <w:sz w:val="24"/>
        </w:rPr>
        <w:t>mprecise and prone to misunderstandings, do not accept parenthetical documentation as promoted by the Modern Language Association.</w:t>
      </w:r>
      <w:proofErr w:type="gramEnd"/>
      <w:r>
        <w:rPr>
          <w:rFonts w:eastAsia="Times New Roman"/>
          <w:color w:val="000000"/>
          <w:sz w:val="24"/>
        </w:rPr>
        <w:t xml:space="preserve"> </w:t>
      </w:r>
      <w:r>
        <w:rPr>
          <w:rFonts w:eastAsia="Times New Roman"/>
          <w:color w:val="000000"/>
          <w:sz w:val="24"/>
          <w:u w:val="single"/>
        </w:rPr>
        <w:t xml:space="preserve">However, as with all issues about writing, you should consult your </w:t>
      </w:r>
      <w:proofErr w:type="gramStart"/>
      <w:r>
        <w:rPr>
          <w:rFonts w:eastAsia="Times New Roman"/>
          <w:color w:val="000000"/>
          <w:sz w:val="24"/>
          <w:u w:val="single"/>
        </w:rPr>
        <w:t>professor’s</w:t>
      </w:r>
      <w:proofErr w:type="gramEnd"/>
      <w:r>
        <w:rPr>
          <w:rFonts w:eastAsia="Times New Roman"/>
          <w:color w:val="000000"/>
          <w:sz w:val="24"/>
          <w:u w:val="single"/>
        </w:rPr>
        <w:t xml:space="preserve"> guidelines for documentation and follow them</w:t>
      </w:r>
      <w:r>
        <w:rPr>
          <w:rFonts w:eastAsia="Times New Roman"/>
          <w:i/>
          <w:color w:val="000000"/>
          <w:sz w:val="24"/>
          <w:u w:val="single"/>
        </w:rPr>
        <w:t>.</w:t>
      </w:r>
      <w:r>
        <w:rPr>
          <w:rFonts w:eastAsia="Times New Roman"/>
          <w:color w:val="000000"/>
          <w:sz w:val="24"/>
        </w:rPr>
        <w:t xml:space="preserve"> </w:t>
      </w:r>
      <w:r>
        <w:rPr>
          <w:rFonts w:eastAsia="Times New Roman"/>
          <w:color w:val="000000"/>
          <w:sz w:val="24"/>
        </w:rPr>
        <w:t xml:space="preserve">The following examples, based on the Chicago system, are simply models. They should not take the place of using the appropriate style manuals for your classes, especially since the examples treat only the most common citations. Please direct any questions </w:t>
      </w:r>
      <w:r>
        <w:rPr>
          <w:rFonts w:eastAsia="Times New Roman"/>
          <w:color w:val="000000"/>
          <w:sz w:val="24"/>
        </w:rPr>
        <w:t>you have to your professor or the HL.</w:t>
      </w:r>
    </w:p>
    <w:p w:rsidR="00875CDE" w:rsidRDefault="00BA339A">
      <w:pPr>
        <w:spacing w:before="299" w:after="1371" w:line="297" w:lineRule="exact"/>
        <w:ind w:left="360"/>
        <w:textAlignment w:val="baseline"/>
        <w:rPr>
          <w:rFonts w:ascii="Lucida Console" w:eastAsia="Lucida Console" w:hAnsi="Lucida Console"/>
          <w:color w:val="000000"/>
          <w:sz w:val="28"/>
        </w:rPr>
      </w:pPr>
      <w:r>
        <w:rPr>
          <w:rFonts w:ascii="Lucida Console" w:eastAsia="Lucida Console" w:hAnsi="Lucida Console"/>
          <w:color w:val="000000"/>
          <w:sz w:val="28"/>
        </w:rPr>
        <w:t xml:space="preserve"> </w:t>
      </w:r>
      <w:r>
        <w:rPr>
          <w:rFonts w:eastAsia="Times New Roman"/>
          <w:b/>
          <w:color w:val="000000"/>
          <w:sz w:val="24"/>
        </w:rPr>
        <w:t>Note</w:t>
      </w:r>
      <w:r>
        <w:rPr>
          <w:rFonts w:eastAsia="Times New Roman"/>
          <w:color w:val="000000"/>
          <w:sz w:val="24"/>
        </w:rPr>
        <w:t>: The first example in each case is the note form, footnote or endnote, and the second example in each case is the bibliography form. Take notice of the differences between the two forms in word order, punctuation, spacing, and format.</w:t>
      </w:r>
    </w:p>
    <w:p w:rsidR="00875CDE" w:rsidRDefault="00BA339A">
      <w:pPr>
        <w:spacing w:before="106" w:line="238" w:lineRule="exact"/>
        <w:ind w:right="864" w:firstLine="720"/>
        <w:textAlignment w:val="baseline"/>
        <w:rPr>
          <w:rFonts w:eastAsia="Times New Roman"/>
          <w:color w:val="000000"/>
          <w:sz w:val="13"/>
          <w:vertAlign w:val="superscript"/>
        </w:rPr>
      </w:pPr>
      <w:r>
        <w:pict>
          <v:line id="_x0000_s1032" style="position:absolute;left:0;text-align:left;z-index:251661312;mso-position-horizontal-relative:page;mso-position-vertical-relative:page" from="1in,656.65pt" to="216.3pt,656.65pt" strokeweight=".7pt">
            <w10:wrap anchorx="page" anchory="page"/>
          </v:line>
        </w:pict>
      </w:r>
      <w:r>
        <w:rPr>
          <w:rFonts w:eastAsia="Times New Roman"/>
          <w:color w:val="000000"/>
          <w:sz w:val="13"/>
          <w:vertAlign w:val="superscript"/>
        </w:rPr>
        <w:t>1</w:t>
      </w:r>
      <w:r>
        <w:rPr>
          <w:rFonts w:eastAsia="Times New Roman"/>
          <w:i/>
          <w:color w:val="000000"/>
          <w:sz w:val="20"/>
        </w:rPr>
        <w:t xml:space="preserve"> The Chicago Manua</w:t>
      </w:r>
      <w:r>
        <w:rPr>
          <w:rFonts w:eastAsia="Times New Roman"/>
          <w:i/>
          <w:color w:val="000000"/>
          <w:sz w:val="20"/>
        </w:rPr>
        <w:t>l of Style: The Essential Guide for Writers, Editors, and Publishers</w:t>
      </w:r>
      <w:r>
        <w:rPr>
          <w:rFonts w:eastAsia="Times New Roman"/>
          <w:color w:val="000000"/>
          <w:sz w:val="20"/>
        </w:rPr>
        <w:t>, 16</w:t>
      </w:r>
      <w:r>
        <w:rPr>
          <w:rFonts w:eastAsia="Times New Roman"/>
          <w:color w:val="000000"/>
          <w:sz w:val="20"/>
          <w:vertAlign w:val="superscript"/>
        </w:rPr>
        <w:t>th</w:t>
      </w:r>
      <w:r>
        <w:rPr>
          <w:rFonts w:eastAsia="Times New Roman"/>
          <w:color w:val="000000"/>
          <w:sz w:val="20"/>
        </w:rPr>
        <w:t xml:space="preserve"> ed. (Chicago: The University of Chicago Press, 2010).</w:t>
      </w:r>
    </w:p>
    <w:p w:rsidR="00875CDE" w:rsidRDefault="00BA339A">
      <w:pPr>
        <w:spacing w:before="6" w:line="229" w:lineRule="exact"/>
        <w:ind w:right="144" w:firstLine="720"/>
        <w:textAlignment w:val="baseline"/>
        <w:rPr>
          <w:rFonts w:eastAsia="Times New Roman"/>
          <w:color w:val="000000"/>
          <w:sz w:val="13"/>
          <w:vertAlign w:val="superscript"/>
        </w:rPr>
      </w:pPr>
      <w:r>
        <w:rPr>
          <w:rFonts w:eastAsia="Times New Roman"/>
          <w:color w:val="000000"/>
          <w:sz w:val="13"/>
          <w:vertAlign w:val="superscript"/>
        </w:rPr>
        <w:t>2</w:t>
      </w:r>
      <w:r>
        <w:rPr>
          <w:rFonts w:eastAsia="Times New Roman"/>
          <w:color w:val="000000"/>
          <w:sz w:val="20"/>
        </w:rPr>
        <w:t xml:space="preserve"> Kate L. </w:t>
      </w:r>
      <w:proofErr w:type="spellStart"/>
      <w:r>
        <w:rPr>
          <w:rFonts w:eastAsia="Times New Roman"/>
          <w:color w:val="000000"/>
          <w:sz w:val="20"/>
        </w:rPr>
        <w:t>Turabian</w:t>
      </w:r>
      <w:proofErr w:type="spellEnd"/>
      <w:r>
        <w:rPr>
          <w:rFonts w:eastAsia="Times New Roman"/>
          <w:color w:val="000000"/>
          <w:sz w:val="20"/>
        </w:rPr>
        <w:t xml:space="preserve">, </w:t>
      </w:r>
      <w:r>
        <w:rPr>
          <w:rFonts w:eastAsia="Times New Roman"/>
          <w:i/>
          <w:color w:val="000000"/>
          <w:sz w:val="20"/>
        </w:rPr>
        <w:t>A Manual for Writers of Research Papers, Theses, and Dissertations</w:t>
      </w:r>
      <w:r>
        <w:rPr>
          <w:rFonts w:eastAsia="Times New Roman"/>
          <w:color w:val="000000"/>
          <w:sz w:val="20"/>
        </w:rPr>
        <w:t>, 8</w:t>
      </w:r>
      <w:r>
        <w:rPr>
          <w:rFonts w:eastAsia="Times New Roman"/>
          <w:color w:val="000000"/>
          <w:sz w:val="20"/>
          <w:vertAlign w:val="superscript"/>
        </w:rPr>
        <w:t>th</w:t>
      </w:r>
      <w:r>
        <w:rPr>
          <w:rFonts w:eastAsia="Times New Roman"/>
          <w:color w:val="000000"/>
          <w:sz w:val="20"/>
        </w:rPr>
        <w:t xml:space="preserve"> ed. (Chicago: The University of Chi</w:t>
      </w:r>
      <w:r>
        <w:rPr>
          <w:rFonts w:eastAsia="Times New Roman"/>
          <w:color w:val="000000"/>
          <w:sz w:val="20"/>
        </w:rPr>
        <w:t xml:space="preserve">cago Press, 2013).; Mary Lynn </w:t>
      </w:r>
      <w:proofErr w:type="spellStart"/>
      <w:r>
        <w:rPr>
          <w:rFonts w:eastAsia="Times New Roman"/>
          <w:color w:val="000000"/>
          <w:sz w:val="20"/>
        </w:rPr>
        <w:t>Rampolla</w:t>
      </w:r>
      <w:proofErr w:type="spellEnd"/>
      <w:r>
        <w:rPr>
          <w:rFonts w:eastAsia="Times New Roman"/>
          <w:color w:val="000000"/>
          <w:sz w:val="20"/>
        </w:rPr>
        <w:t xml:space="preserve">, </w:t>
      </w:r>
      <w:r>
        <w:rPr>
          <w:rFonts w:eastAsia="Times New Roman"/>
          <w:i/>
          <w:color w:val="000000"/>
          <w:sz w:val="20"/>
        </w:rPr>
        <w:t>A Pocket Guide to Writing in History</w:t>
      </w:r>
      <w:r>
        <w:rPr>
          <w:rFonts w:eastAsia="Times New Roman"/>
          <w:color w:val="000000"/>
          <w:sz w:val="20"/>
        </w:rPr>
        <w:t>, 7</w:t>
      </w:r>
      <w:r>
        <w:rPr>
          <w:rFonts w:eastAsia="Times New Roman"/>
          <w:color w:val="000000"/>
          <w:sz w:val="20"/>
          <w:vertAlign w:val="superscript"/>
        </w:rPr>
        <w:t>th</w:t>
      </w:r>
      <w:r>
        <w:rPr>
          <w:rFonts w:eastAsia="Times New Roman"/>
          <w:color w:val="000000"/>
          <w:sz w:val="20"/>
        </w:rPr>
        <w:t xml:space="preserve"> ed. (Boston: Bedford/St. Martin’s, 2012).</w:t>
      </w:r>
    </w:p>
    <w:p w:rsidR="00875CDE" w:rsidRDefault="00875CDE">
      <w:pPr>
        <w:sectPr w:rsidR="00875CDE">
          <w:pgSz w:w="12240" w:h="15840"/>
          <w:pgMar w:top="1540" w:right="1420" w:bottom="874" w:left="1440" w:header="720" w:footer="720" w:gutter="0"/>
          <w:cols w:space="720"/>
        </w:sectPr>
      </w:pPr>
    </w:p>
    <w:p w:rsidR="00875CDE" w:rsidRDefault="00BA339A">
      <w:pPr>
        <w:spacing w:before="11" w:line="325" w:lineRule="exact"/>
        <w:jc w:val="center"/>
        <w:textAlignment w:val="baseline"/>
        <w:rPr>
          <w:rFonts w:eastAsia="Times New Roman"/>
          <w:b/>
          <w:color w:val="000000"/>
          <w:sz w:val="28"/>
        </w:rPr>
      </w:pPr>
      <w:r>
        <w:lastRenderedPageBreak/>
        <w:pict>
          <v:shape id="_x0000_s1031" type="#_x0000_t202" style="position:absolute;left:0;text-align:left;margin-left:298.4pt;margin-top:728.5pt;width:15.2pt;height:13.85pt;z-index:-251661312;mso-wrap-distance-left:0;mso-wrap-distance-right:0;mso-position-horizontal-relative:page;mso-position-vertical-relative:page" filled="f" stroked="f">
            <v:textbox inset="0,0,0,0">
              <w:txbxContent>
                <w:p w:rsidR="00875CDE" w:rsidRDefault="00BA339A">
                  <w:pPr>
                    <w:spacing w:before="1" w:line="275" w:lineRule="exact"/>
                    <w:textAlignment w:val="baseline"/>
                    <w:rPr>
                      <w:rFonts w:eastAsia="Times New Roman"/>
                      <w:color w:val="000000"/>
                      <w:sz w:val="24"/>
                    </w:rPr>
                  </w:pPr>
                  <w:r>
                    <w:rPr>
                      <w:rFonts w:eastAsia="Times New Roman"/>
                      <w:color w:val="000000"/>
                      <w:sz w:val="24"/>
                    </w:rPr>
                    <w:t>2</w:t>
                  </w:r>
                </w:p>
              </w:txbxContent>
            </v:textbox>
            <w10:wrap type="square" anchorx="page" anchory="page"/>
          </v:shape>
        </w:pict>
      </w:r>
      <w:r>
        <w:rPr>
          <w:rFonts w:eastAsia="Times New Roman"/>
          <w:b/>
          <w:color w:val="000000"/>
          <w:sz w:val="28"/>
        </w:rPr>
        <w:t>Articles</w:t>
      </w:r>
    </w:p>
    <w:p w:rsidR="00875CDE" w:rsidRDefault="00BA339A">
      <w:pPr>
        <w:spacing w:before="270" w:line="325" w:lineRule="exact"/>
        <w:textAlignment w:val="baseline"/>
        <w:rPr>
          <w:rFonts w:eastAsia="Times New Roman"/>
          <w:b/>
          <w:color w:val="000000"/>
          <w:sz w:val="28"/>
        </w:rPr>
      </w:pPr>
      <w:r>
        <w:rPr>
          <w:rFonts w:eastAsia="Times New Roman"/>
          <w:b/>
          <w:color w:val="000000"/>
          <w:sz w:val="28"/>
        </w:rPr>
        <w:t>Article in a Continuously Paginated Journal</w:t>
      </w:r>
    </w:p>
    <w:p w:rsidR="00875CDE" w:rsidRDefault="00BA339A">
      <w:pPr>
        <w:spacing w:before="262" w:line="276" w:lineRule="exact"/>
        <w:ind w:left="360" w:right="4680"/>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 xml:space="preserve">It is optional to include the issue number. </w:t>
      </w:r>
      <w:r>
        <w:rPr>
          <w:rFonts w:ascii="Lucida Console" w:eastAsia="Lucida Console" w:hAnsi="Lucida Console"/>
          <w:color w:val="000000"/>
          <w:sz w:val="24"/>
        </w:rPr>
        <w:t xml:space="preserve">* </w:t>
      </w:r>
      <w:r>
        <w:rPr>
          <w:rFonts w:eastAsia="Times New Roman"/>
          <w:color w:val="000000"/>
          <w:sz w:val="24"/>
          <w:u w:val="single"/>
        </w:rPr>
        <w:t>Footnote/Endnote form</w:t>
      </w:r>
    </w:p>
    <w:p w:rsidR="00875CDE" w:rsidRDefault="00BA339A">
      <w:pPr>
        <w:spacing w:before="279" w:line="276" w:lineRule="exact"/>
        <w:ind w:right="504" w:firstLine="360"/>
        <w:textAlignment w:val="baseline"/>
        <w:rPr>
          <w:rFonts w:eastAsia="Times New Roman"/>
          <w:color w:val="000000"/>
          <w:sz w:val="16"/>
          <w:vertAlign w:val="superscript"/>
        </w:rPr>
      </w:pPr>
      <w:proofErr w:type="gramStart"/>
      <w:r>
        <w:rPr>
          <w:rFonts w:eastAsia="Times New Roman"/>
          <w:color w:val="000000"/>
          <w:sz w:val="16"/>
          <w:vertAlign w:val="superscript"/>
        </w:rPr>
        <w:t>45</w:t>
      </w:r>
      <w:proofErr w:type="gramEnd"/>
      <w:r>
        <w:rPr>
          <w:rFonts w:eastAsia="Times New Roman"/>
          <w:color w:val="000000"/>
          <w:sz w:val="24"/>
        </w:rPr>
        <w:t xml:space="preserve"> Kyle F. </w:t>
      </w:r>
      <w:proofErr w:type="spellStart"/>
      <w:r>
        <w:rPr>
          <w:rFonts w:eastAsia="Times New Roman"/>
          <w:color w:val="000000"/>
          <w:sz w:val="24"/>
        </w:rPr>
        <w:t>Zelner</w:t>
      </w:r>
      <w:proofErr w:type="spellEnd"/>
      <w:r>
        <w:rPr>
          <w:rFonts w:eastAsia="Times New Roman"/>
          <w:color w:val="000000"/>
          <w:sz w:val="24"/>
        </w:rPr>
        <w:t xml:space="preserve">, “Essex County’s Two Militias: The Social Composition of Offensive and Defensive Militias during King Philip’s War, 1675 – 1676,” </w:t>
      </w:r>
      <w:r>
        <w:rPr>
          <w:rFonts w:eastAsia="Times New Roman"/>
          <w:i/>
          <w:color w:val="000000"/>
          <w:sz w:val="24"/>
        </w:rPr>
        <w:t xml:space="preserve">New England Quarterly </w:t>
      </w:r>
      <w:r>
        <w:rPr>
          <w:rFonts w:eastAsia="Times New Roman"/>
          <w:color w:val="000000"/>
          <w:sz w:val="24"/>
        </w:rPr>
        <w:t>72 (December 1999): 588.</w:t>
      </w:r>
    </w:p>
    <w:p w:rsidR="00875CDE" w:rsidRDefault="00BA339A">
      <w:pPr>
        <w:spacing w:before="301" w:line="248" w:lineRule="exact"/>
        <w:ind w:left="360"/>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875CDE" w:rsidRDefault="00BA339A">
      <w:pPr>
        <w:spacing w:before="279" w:line="276" w:lineRule="exact"/>
        <w:ind w:left="720" w:right="216" w:hanging="720"/>
        <w:textAlignment w:val="baseline"/>
        <w:rPr>
          <w:rFonts w:eastAsia="Times New Roman"/>
          <w:color w:val="000000"/>
          <w:sz w:val="24"/>
        </w:rPr>
      </w:pPr>
      <w:proofErr w:type="spellStart"/>
      <w:r>
        <w:rPr>
          <w:rFonts w:eastAsia="Times New Roman"/>
          <w:color w:val="000000"/>
          <w:sz w:val="24"/>
        </w:rPr>
        <w:t>Zelner</w:t>
      </w:r>
      <w:proofErr w:type="spellEnd"/>
      <w:r>
        <w:rPr>
          <w:rFonts w:eastAsia="Times New Roman"/>
          <w:color w:val="000000"/>
          <w:sz w:val="24"/>
        </w:rPr>
        <w:t xml:space="preserve">, Kyle F. “Essex County’s Two Militias: The Social Composition of Offensive and Defensive Militias during King Philip’s War, 1675 – 1676.” </w:t>
      </w:r>
      <w:r>
        <w:rPr>
          <w:rFonts w:eastAsia="Times New Roman"/>
          <w:i/>
          <w:color w:val="000000"/>
          <w:sz w:val="24"/>
        </w:rPr>
        <w:t xml:space="preserve">New England Quarterly </w:t>
      </w:r>
      <w:r>
        <w:rPr>
          <w:rFonts w:eastAsia="Times New Roman"/>
          <w:color w:val="000000"/>
          <w:sz w:val="24"/>
        </w:rPr>
        <w:t>72 (December 1999): 577 – 593.</w:t>
      </w:r>
    </w:p>
    <w:p w:rsidR="00875CDE" w:rsidRDefault="00BA339A">
      <w:pPr>
        <w:spacing w:before="471" w:line="325" w:lineRule="exact"/>
        <w:textAlignment w:val="baseline"/>
        <w:rPr>
          <w:rFonts w:eastAsia="Times New Roman"/>
          <w:b/>
          <w:color w:val="000000"/>
          <w:sz w:val="28"/>
        </w:rPr>
      </w:pPr>
      <w:r>
        <w:rPr>
          <w:rFonts w:eastAsia="Times New Roman"/>
          <w:b/>
          <w:color w:val="000000"/>
          <w:sz w:val="28"/>
        </w:rPr>
        <w:t>Article in a Journal Paginated by Issue</w:t>
      </w:r>
    </w:p>
    <w:p w:rsidR="00875CDE" w:rsidRDefault="00BA339A">
      <w:pPr>
        <w:spacing w:before="262" w:line="276" w:lineRule="exact"/>
        <w:ind w:left="360"/>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You must include</w:t>
      </w:r>
      <w:r>
        <w:rPr>
          <w:rFonts w:eastAsia="Times New Roman"/>
          <w:color w:val="000000"/>
          <w:sz w:val="24"/>
        </w:rPr>
        <w:t xml:space="preserve"> the volume and issue numbers</w:t>
      </w:r>
    </w:p>
    <w:p w:rsidR="00875CDE" w:rsidRDefault="00BA339A">
      <w:pPr>
        <w:spacing w:before="3" w:line="276" w:lineRule="exact"/>
        <w:ind w:left="360"/>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The volume number precedes the issue number and may be designated either</w:t>
      </w:r>
    </w:p>
    <w:p w:rsidR="00875CDE" w:rsidRDefault="00BA339A">
      <w:pPr>
        <w:numPr>
          <w:ilvl w:val="0"/>
          <w:numId w:val="1"/>
        </w:numPr>
        <w:tabs>
          <w:tab w:val="clear" w:pos="360"/>
          <w:tab w:val="left" w:pos="2232"/>
        </w:tabs>
        <w:spacing w:line="273" w:lineRule="exact"/>
        <w:ind w:left="1872"/>
        <w:textAlignment w:val="baseline"/>
        <w:rPr>
          <w:rFonts w:eastAsia="Times New Roman"/>
          <w:color w:val="000000"/>
          <w:spacing w:val="-3"/>
          <w:sz w:val="24"/>
        </w:rPr>
      </w:pPr>
      <w:r>
        <w:rPr>
          <w:rFonts w:eastAsia="Times New Roman"/>
          <w:color w:val="000000"/>
          <w:spacing w:val="-3"/>
          <w:sz w:val="24"/>
        </w:rPr>
        <w:t>34, no. 1 or</w:t>
      </w:r>
    </w:p>
    <w:p w:rsidR="00875CDE" w:rsidRDefault="00BA339A">
      <w:pPr>
        <w:numPr>
          <w:ilvl w:val="0"/>
          <w:numId w:val="1"/>
        </w:numPr>
        <w:tabs>
          <w:tab w:val="clear" w:pos="360"/>
          <w:tab w:val="left" w:pos="2232"/>
        </w:tabs>
        <w:spacing w:before="3" w:line="276" w:lineRule="exact"/>
        <w:ind w:left="1872"/>
        <w:textAlignment w:val="baseline"/>
        <w:rPr>
          <w:rFonts w:eastAsia="Times New Roman"/>
          <w:color w:val="000000"/>
          <w:spacing w:val="-14"/>
          <w:sz w:val="24"/>
        </w:rPr>
      </w:pPr>
      <w:r>
        <w:rPr>
          <w:rFonts w:eastAsia="Times New Roman"/>
          <w:color w:val="000000"/>
          <w:spacing w:val="-14"/>
          <w:sz w:val="24"/>
        </w:rPr>
        <w:t>34/1</w:t>
      </w:r>
    </w:p>
    <w:p w:rsidR="00875CDE" w:rsidRDefault="00BA339A">
      <w:pPr>
        <w:spacing w:before="301" w:line="248" w:lineRule="exact"/>
        <w:ind w:left="360"/>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875CDE" w:rsidRDefault="00BA339A">
      <w:pPr>
        <w:spacing w:before="277" w:line="276" w:lineRule="exact"/>
        <w:ind w:firstLine="720"/>
        <w:jc w:val="both"/>
        <w:textAlignment w:val="baseline"/>
        <w:rPr>
          <w:rFonts w:eastAsia="Times New Roman"/>
          <w:color w:val="000000"/>
          <w:spacing w:val="-1"/>
          <w:sz w:val="16"/>
          <w:vertAlign w:val="superscript"/>
        </w:rPr>
      </w:pPr>
      <w:proofErr w:type="gramStart"/>
      <w:r>
        <w:rPr>
          <w:rFonts w:eastAsia="Times New Roman"/>
          <w:color w:val="000000"/>
          <w:spacing w:val="-1"/>
          <w:sz w:val="16"/>
          <w:vertAlign w:val="superscript"/>
        </w:rPr>
        <w:t>15</w:t>
      </w:r>
      <w:proofErr w:type="gramEnd"/>
      <w:r>
        <w:rPr>
          <w:rFonts w:eastAsia="Times New Roman"/>
          <w:color w:val="000000"/>
          <w:spacing w:val="-1"/>
          <w:sz w:val="24"/>
        </w:rPr>
        <w:t xml:space="preserve"> Louis </w:t>
      </w:r>
      <w:proofErr w:type="spellStart"/>
      <w:r>
        <w:rPr>
          <w:rFonts w:eastAsia="Times New Roman"/>
          <w:color w:val="000000"/>
          <w:spacing w:val="-1"/>
          <w:sz w:val="24"/>
        </w:rPr>
        <w:t>Kyriakoudes</w:t>
      </w:r>
      <w:proofErr w:type="spellEnd"/>
      <w:r>
        <w:rPr>
          <w:rFonts w:eastAsia="Times New Roman"/>
          <w:color w:val="000000"/>
          <w:spacing w:val="-1"/>
          <w:sz w:val="24"/>
        </w:rPr>
        <w:t xml:space="preserve">, “The Grand Ole’ Opry and Big Tobacco: Radio Scripts from the </w:t>
      </w:r>
      <w:r>
        <w:rPr>
          <w:rFonts w:eastAsia="Times New Roman"/>
          <w:color w:val="000000"/>
          <w:spacing w:val="-1"/>
          <w:sz w:val="24"/>
        </w:rPr>
        <w:t xml:space="preserve">Files of R.J. Reynolds Tobacco Company, 1948 – 1959,” </w:t>
      </w:r>
      <w:r>
        <w:rPr>
          <w:rFonts w:eastAsia="Times New Roman"/>
          <w:i/>
          <w:color w:val="000000"/>
          <w:spacing w:val="-1"/>
          <w:sz w:val="24"/>
        </w:rPr>
        <w:t xml:space="preserve">Southern Cultures </w:t>
      </w:r>
      <w:r>
        <w:rPr>
          <w:rFonts w:eastAsia="Times New Roman"/>
          <w:color w:val="000000"/>
          <w:spacing w:val="-1"/>
          <w:sz w:val="24"/>
        </w:rPr>
        <w:t>12, no. 2 (2006): 78.</w:t>
      </w:r>
    </w:p>
    <w:p w:rsidR="00875CDE" w:rsidRDefault="00BA339A">
      <w:pPr>
        <w:spacing w:before="300" w:line="248" w:lineRule="exact"/>
        <w:ind w:left="360"/>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875CDE" w:rsidRDefault="00BA339A">
      <w:pPr>
        <w:spacing w:before="279" w:line="276" w:lineRule="exact"/>
        <w:ind w:left="720" w:right="72" w:hanging="720"/>
        <w:textAlignment w:val="baseline"/>
        <w:rPr>
          <w:rFonts w:eastAsia="Times New Roman"/>
          <w:color w:val="000000"/>
          <w:sz w:val="24"/>
        </w:rPr>
      </w:pPr>
      <w:proofErr w:type="spellStart"/>
      <w:r>
        <w:rPr>
          <w:rFonts w:eastAsia="Times New Roman"/>
          <w:color w:val="000000"/>
          <w:sz w:val="24"/>
        </w:rPr>
        <w:t>Kyriakoudes</w:t>
      </w:r>
      <w:proofErr w:type="spellEnd"/>
      <w:r>
        <w:rPr>
          <w:rFonts w:eastAsia="Times New Roman"/>
          <w:color w:val="000000"/>
          <w:sz w:val="24"/>
        </w:rPr>
        <w:t xml:space="preserve">, Louis. “The Grand Ole’ Opry and Big Tobacco: Radio Scripts from the Files of R.J. Reynolds Tobacco Company, 1948 – 1959.” </w:t>
      </w:r>
      <w:r>
        <w:rPr>
          <w:rFonts w:eastAsia="Times New Roman"/>
          <w:i/>
          <w:color w:val="000000"/>
          <w:sz w:val="24"/>
        </w:rPr>
        <w:t xml:space="preserve">Southern Cultures </w:t>
      </w:r>
      <w:r>
        <w:rPr>
          <w:rFonts w:eastAsia="Times New Roman"/>
          <w:color w:val="000000"/>
          <w:sz w:val="24"/>
        </w:rPr>
        <w:t>12, no. 2 (2006): 76</w:t>
      </w:r>
      <w:r>
        <w:rPr>
          <w:rFonts w:eastAsia="Times New Roman"/>
          <w:color w:val="000000"/>
          <w:sz w:val="24"/>
        </w:rPr>
        <w:softHyphen/>
        <w:t>89.</w:t>
      </w:r>
    </w:p>
    <w:p w:rsidR="00875CDE" w:rsidRDefault="00BA339A">
      <w:pPr>
        <w:spacing w:before="515" w:line="325" w:lineRule="exact"/>
        <w:textAlignment w:val="baseline"/>
        <w:rPr>
          <w:rFonts w:eastAsia="Times New Roman"/>
          <w:b/>
          <w:color w:val="000000"/>
          <w:sz w:val="28"/>
        </w:rPr>
      </w:pPr>
      <w:r>
        <w:rPr>
          <w:rFonts w:eastAsia="Times New Roman"/>
          <w:b/>
          <w:color w:val="000000"/>
          <w:sz w:val="28"/>
        </w:rPr>
        <w:t>Book Review</w:t>
      </w:r>
    </w:p>
    <w:p w:rsidR="00875CDE" w:rsidRDefault="00BA339A">
      <w:pPr>
        <w:spacing w:before="296" w:line="251" w:lineRule="exact"/>
        <w:ind w:left="360"/>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b/>
          <w:color w:val="000000"/>
          <w:spacing w:val="2"/>
          <w:sz w:val="24"/>
        </w:rPr>
        <w:t>From a journal</w:t>
      </w:r>
    </w:p>
    <w:p w:rsidR="00875CDE" w:rsidRDefault="00BA339A">
      <w:pPr>
        <w:spacing w:before="297" w:line="248" w:lineRule="exact"/>
        <w:ind w:left="360"/>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875CDE" w:rsidRDefault="00BA339A">
      <w:pPr>
        <w:spacing w:before="279" w:line="276" w:lineRule="exact"/>
        <w:ind w:right="288" w:firstLine="360"/>
        <w:textAlignment w:val="baseline"/>
        <w:rPr>
          <w:rFonts w:eastAsia="Times New Roman"/>
          <w:color w:val="000000"/>
          <w:sz w:val="16"/>
        </w:rPr>
      </w:pPr>
      <w:proofErr w:type="gramStart"/>
      <w:r>
        <w:rPr>
          <w:rFonts w:eastAsia="Times New Roman"/>
          <w:color w:val="000000"/>
          <w:sz w:val="16"/>
        </w:rPr>
        <w:t>32</w:t>
      </w:r>
      <w:proofErr w:type="gramEnd"/>
      <w:r>
        <w:rPr>
          <w:rFonts w:eastAsia="Times New Roman"/>
          <w:color w:val="000000"/>
          <w:sz w:val="16"/>
        </w:rPr>
        <w:t xml:space="preserve"> </w:t>
      </w:r>
      <w:r>
        <w:rPr>
          <w:rFonts w:eastAsia="Times New Roman"/>
          <w:color w:val="000000"/>
          <w:sz w:val="24"/>
        </w:rPr>
        <w:t xml:space="preserve">Matthew Casey, review of </w:t>
      </w:r>
      <w:r>
        <w:rPr>
          <w:rFonts w:eastAsia="Times New Roman"/>
          <w:i/>
          <w:color w:val="000000"/>
          <w:sz w:val="24"/>
        </w:rPr>
        <w:t xml:space="preserve">Red &amp; Black in Haiti: Radicalism, Conflict, and Political Change </w:t>
      </w:r>
      <w:r>
        <w:rPr>
          <w:rFonts w:eastAsia="Times New Roman"/>
          <w:color w:val="000000"/>
          <w:sz w:val="24"/>
        </w:rPr>
        <w:t xml:space="preserve">by Matthew J. Smith, </w:t>
      </w:r>
      <w:r>
        <w:rPr>
          <w:rFonts w:eastAsia="Times New Roman"/>
          <w:i/>
          <w:color w:val="000000"/>
          <w:sz w:val="24"/>
        </w:rPr>
        <w:t xml:space="preserve">Journal of American History </w:t>
      </w:r>
      <w:r>
        <w:rPr>
          <w:rFonts w:eastAsia="Times New Roman"/>
          <w:color w:val="000000"/>
          <w:sz w:val="24"/>
        </w:rPr>
        <w:t xml:space="preserve">38, no 2. (July – </w:t>
      </w:r>
      <w:r>
        <w:rPr>
          <w:rFonts w:eastAsia="Times New Roman"/>
          <w:color w:val="000000"/>
          <w:sz w:val="24"/>
        </w:rPr>
        <w:t>December 2010): 191.</w:t>
      </w:r>
    </w:p>
    <w:p w:rsidR="00875CDE" w:rsidRDefault="00875CDE">
      <w:pPr>
        <w:sectPr w:rsidR="00875CDE">
          <w:pgSz w:w="12240" w:h="15840"/>
          <w:pgMar w:top="1440" w:right="1449" w:bottom="874" w:left="1411" w:header="720" w:footer="720" w:gutter="0"/>
          <w:cols w:space="720"/>
        </w:sectPr>
      </w:pPr>
    </w:p>
    <w:p w:rsidR="00875CDE" w:rsidRDefault="00BA339A">
      <w:pPr>
        <w:spacing w:before="48" w:line="248" w:lineRule="exact"/>
        <w:ind w:left="432"/>
        <w:textAlignment w:val="baseline"/>
        <w:rPr>
          <w:rFonts w:ascii="Lucida Console" w:eastAsia="Lucida Console" w:hAnsi="Lucida Console"/>
          <w:color w:val="000000"/>
          <w:spacing w:val="2"/>
          <w:sz w:val="24"/>
        </w:rPr>
      </w:pPr>
      <w:r>
        <w:lastRenderedPageBreak/>
        <w:pict>
          <v:shape id="_x0000_s1030" type="#_x0000_t202" style="position:absolute;left:0;text-align:left;margin-left:298.65pt;margin-top:728.5pt;width:14.45pt;height:13.85pt;z-index:-251660288;mso-wrap-distance-left:0;mso-wrap-distance-right:0;mso-position-horizontal-relative:page;mso-position-vertical-relative:page" filled="f" stroked="f">
            <v:textbox inset="0,0,0,0">
              <w:txbxContent>
                <w:p w:rsidR="00875CDE" w:rsidRDefault="00BA339A">
                  <w:pPr>
                    <w:spacing w:before="3" w:line="273" w:lineRule="exact"/>
                    <w:textAlignment w:val="baseline"/>
                    <w:rPr>
                      <w:rFonts w:eastAsia="Times New Roman"/>
                      <w:color w:val="000000"/>
                      <w:sz w:val="24"/>
                    </w:rPr>
                  </w:pPr>
                  <w:r>
                    <w:rPr>
                      <w:rFonts w:eastAsia="Times New Roman"/>
                      <w:color w:val="000000"/>
                      <w:sz w:val="24"/>
                    </w:rPr>
                    <w:t>3</w:t>
                  </w:r>
                </w:p>
              </w:txbxContent>
            </v:textbox>
            <w10:wrap type="square" anchorx="page" anchory="page"/>
          </v:shape>
        </w:pict>
      </w: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875CDE" w:rsidRDefault="00BA339A">
      <w:pPr>
        <w:spacing w:before="279" w:line="276" w:lineRule="exact"/>
        <w:ind w:left="792" w:right="144" w:hanging="720"/>
        <w:textAlignment w:val="baseline"/>
        <w:rPr>
          <w:rFonts w:eastAsia="Times New Roman"/>
          <w:color w:val="000000"/>
          <w:sz w:val="24"/>
        </w:rPr>
      </w:pPr>
      <w:r>
        <w:rPr>
          <w:rFonts w:eastAsia="Times New Roman"/>
          <w:color w:val="000000"/>
          <w:sz w:val="24"/>
        </w:rPr>
        <w:t xml:space="preserve">Casey, Matthew. Review of </w:t>
      </w:r>
      <w:r>
        <w:rPr>
          <w:rFonts w:eastAsia="Times New Roman"/>
          <w:i/>
          <w:color w:val="000000"/>
          <w:sz w:val="24"/>
        </w:rPr>
        <w:t xml:space="preserve">Red &amp; Black </w:t>
      </w:r>
      <w:proofErr w:type="gramStart"/>
      <w:r>
        <w:rPr>
          <w:rFonts w:eastAsia="Times New Roman"/>
          <w:i/>
          <w:color w:val="000000"/>
          <w:sz w:val="24"/>
        </w:rPr>
        <w:t>In</w:t>
      </w:r>
      <w:proofErr w:type="gramEnd"/>
      <w:r>
        <w:rPr>
          <w:rFonts w:eastAsia="Times New Roman"/>
          <w:i/>
          <w:color w:val="000000"/>
          <w:sz w:val="24"/>
        </w:rPr>
        <w:t xml:space="preserve"> Haiti: Radicalism, Conflict, and Political Change, </w:t>
      </w:r>
      <w:r>
        <w:rPr>
          <w:rFonts w:eastAsia="Times New Roman"/>
          <w:color w:val="000000"/>
          <w:sz w:val="24"/>
        </w:rPr>
        <w:t xml:space="preserve">by Matthew J. Smith. </w:t>
      </w:r>
      <w:r>
        <w:rPr>
          <w:rFonts w:eastAsia="Times New Roman"/>
          <w:i/>
          <w:color w:val="000000"/>
          <w:sz w:val="24"/>
        </w:rPr>
        <w:t xml:space="preserve">Journal of American History </w:t>
      </w:r>
      <w:r>
        <w:rPr>
          <w:rFonts w:eastAsia="Times New Roman"/>
          <w:color w:val="000000"/>
          <w:sz w:val="24"/>
        </w:rPr>
        <w:t>38, no. 2 (July – December 2010): 191 – 194.</w:t>
      </w:r>
    </w:p>
    <w:p w:rsidR="00875CDE" w:rsidRDefault="00BA339A">
      <w:pPr>
        <w:spacing w:before="306" w:line="251"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b/>
          <w:color w:val="000000"/>
          <w:spacing w:val="2"/>
          <w:sz w:val="24"/>
        </w:rPr>
        <w:t>From a newspaper</w:t>
      </w:r>
    </w:p>
    <w:p w:rsidR="00875CDE" w:rsidRDefault="00BA339A">
      <w:pPr>
        <w:spacing w:before="296"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875CDE" w:rsidRDefault="00BA339A">
      <w:pPr>
        <w:spacing w:before="277" w:line="277" w:lineRule="exact"/>
        <w:ind w:left="72" w:right="288" w:firstLine="720"/>
        <w:textAlignment w:val="baseline"/>
        <w:rPr>
          <w:rFonts w:eastAsia="Times New Roman"/>
          <w:color w:val="000000"/>
          <w:sz w:val="16"/>
          <w:vertAlign w:val="superscript"/>
        </w:rPr>
      </w:pPr>
      <w:r>
        <w:rPr>
          <w:rFonts w:eastAsia="Times New Roman"/>
          <w:color w:val="000000"/>
          <w:sz w:val="16"/>
          <w:vertAlign w:val="superscript"/>
        </w:rPr>
        <w:t>23</w:t>
      </w:r>
      <w:r>
        <w:rPr>
          <w:rFonts w:eastAsia="Times New Roman"/>
          <w:color w:val="000000"/>
          <w:sz w:val="24"/>
        </w:rPr>
        <w:t xml:space="preserve"> Alan Brinkley, “Why Were We in Vietnam</w:t>
      </w:r>
      <w:proofErr w:type="gramStart"/>
      <w:r>
        <w:rPr>
          <w:rFonts w:eastAsia="Times New Roman"/>
          <w:color w:val="000000"/>
          <w:sz w:val="24"/>
        </w:rPr>
        <w:t>?,</w:t>
      </w:r>
      <w:proofErr w:type="gramEnd"/>
      <w:r>
        <w:rPr>
          <w:rFonts w:eastAsia="Times New Roman"/>
          <w:color w:val="000000"/>
          <w:sz w:val="24"/>
        </w:rPr>
        <w:t xml:space="preserve">” review of </w:t>
      </w:r>
      <w:r>
        <w:rPr>
          <w:rFonts w:eastAsia="Times New Roman"/>
          <w:i/>
          <w:color w:val="000000"/>
          <w:sz w:val="24"/>
        </w:rPr>
        <w:t xml:space="preserve">Embers of War </w:t>
      </w:r>
      <w:r>
        <w:rPr>
          <w:rFonts w:eastAsia="Times New Roman"/>
          <w:color w:val="000000"/>
          <w:sz w:val="24"/>
        </w:rPr>
        <w:t xml:space="preserve">by Fredrik </w:t>
      </w:r>
      <w:proofErr w:type="spellStart"/>
      <w:r>
        <w:rPr>
          <w:rFonts w:eastAsia="Times New Roman"/>
          <w:color w:val="000000"/>
          <w:sz w:val="24"/>
        </w:rPr>
        <w:t>Logevall</w:t>
      </w:r>
      <w:proofErr w:type="spellEnd"/>
      <w:r>
        <w:rPr>
          <w:rFonts w:eastAsia="Times New Roman"/>
          <w:color w:val="000000"/>
          <w:sz w:val="24"/>
        </w:rPr>
        <w:t xml:space="preserve">, </w:t>
      </w:r>
      <w:r>
        <w:rPr>
          <w:rFonts w:eastAsia="Times New Roman"/>
          <w:i/>
          <w:color w:val="000000"/>
          <w:sz w:val="24"/>
        </w:rPr>
        <w:t>New York Times Sunday Book Review</w:t>
      </w:r>
      <w:r>
        <w:rPr>
          <w:rFonts w:eastAsia="Times New Roman"/>
          <w:color w:val="000000"/>
          <w:sz w:val="24"/>
        </w:rPr>
        <w:t>, September 9, 2012, BR17.</w:t>
      </w:r>
    </w:p>
    <w:p w:rsidR="00875CDE" w:rsidRDefault="00BA339A">
      <w:pPr>
        <w:spacing w:before="299"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875CDE" w:rsidRDefault="00BA339A">
      <w:pPr>
        <w:spacing w:before="279" w:line="278" w:lineRule="exact"/>
        <w:ind w:left="792" w:right="144" w:hanging="720"/>
        <w:textAlignment w:val="baseline"/>
        <w:rPr>
          <w:rFonts w:eastAsia="Times New Roman"/>
          <w:color w:val="000000"/>
          <w:sz w:val="24"/>
        </w:rPr>
      </w:pPr>
      <w:r>
        <w:rPr>
          <w:rFonts w:eastAsia="Times New Roman"/>
          <w:color w:val="000000"/>
          <w:sz w:val="24"/>
        </w:rPr>
        <w:t>Brinkley, Alan. “Why Were We in Vietnam</w:t>
      </w:r>
      <w:proofErr w:type="gramStart"/>
      <w:r>
        <w:rPr>
          <w:rFonts w:eastAsia="Times New Roman"/>
          <w:color w:val="000000"/>
          <w:sz w:val="24"/>
        </w:rPr>
        <w:t>?.</w:t>
      </w:r>
      <w:proofErr w:type="gramEnd"/>
      <w:r>
        <w:rPr>
          <w:rFonts w:eastAsia="Times New Roman"/>
          <w:color w:val="000000"/>
          <w:sz w:val="24"/>
        </w:rPr>
        <w:t xml:space="preserve">” Review of </w:t>
      </w:r>
      <w:r>
        <w:rPr>
          <w:rFonts w:eastAsia="Times New Roman"/>
          <w:i/>
          <w:color w:val="000000"/>
          <w:sz w:val="24"/>
        </w:rPr>
        <w:t xml:space="preserve">Embers of War </w:t>
      </w:r>
      <w:r>
        <w:rPr>
          <w:rFonts w:eastAsia="Times New Roman"/>
          <w:color w:val="000000"/>
          <w:sz w:val="24"/>
        </w:rPr>
        <w:t xml:space="preserve">by Fredrik </w:t>
      </w:r>
      <w:proofErr w:type="spellStart"/>
      <w:r>
        <w:rPr>
          <w:rFonts w:eastAsia="Times New Roman"/>
          <w:color w:val="000000"/>
          <w:sz w:val="24"/>
        </w:rPr>
        <w:t>Logevall</w:t>
      </w:r>
      <w:proofErr w:type="spellEnd"/>
      <w:r>
        <w:rPr>
          <w:rFonts w:eastAsia="Times New Roman"/>
          <w:color w:val="000000"/>
          <w:sz w:val="24"/>
        </w:rPr>
        <w:t xml:space="preserve">. </w:t>
      </w:r>
      <w:r>
        <w:rPr>
          <w:rFonts w:eastAsia="Times New Roman"/>
          <w:i/>
          <w:color w:val="000000"/>
          <w:sz w:val="24"/>
        </w:rPr>
        <w:t>New York Times Sunday Book Review</w:t>
      </w:r>
      <w:r>
        <w:rPr>
          <w:rFonts w:eastAsia="Times New Roman"/>
          <w:color w:val="000000"/>
          <w:sz w:val="24"/>
        </w:rPr>
        <w:t>, September 9, 2012, BR17.</w:t>
      </w:r>
    </w:p>
    <w:p w:rsidR="00875CDE" w:rsidRDefault="00BA339A">
      <w:pPr>
        <w:spacing w:before="604" w:line="322" w:lineRule="exact"/>
        <w:ind w:left="72"/>
        <w:textAlignment w:val="baseline"/>
        <w:rPr>
          <w:rFonts w:eastAsia="Times New Roman"/>
          <w:b/>
          <w:color w:val="000000"/>
          <w:sz w:val="28"/>
        </w:rPr>
      </w:pPr>
      <w:r>
        <w:rPr>
          <w:rFonts w:eastAsia="Times New Roman"/>
          <w:b/>
          <w:color w:val="000000"/>
          <w:sz w:val="28"/>
        </w:rPr>
        <w:t>Newspaper Articles</w:t>
      </w:r>
    </w:p>
    <w:p w:rsidR="00875CDE" w:rsidRDefault="00BA339A">
      <w:pPr>
        <w:spacing w:before="290" w:line="251"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rPr>
        <w:t>Usually contain</w:t>
      </w:r>
    </w:p>
    <w:p w:rsidR="00875CDE" w:rsidRDefault="00BA339A">
      <w:pPr>
        <w:numPr>
          <w:ilvl w:val="0"/>
          <w:numId w:val="1"/>
        </w:numPr>
        <w:tabs>
          <w:tab w:val="clear" w:pos="360"/>
          <w:tab w:val="left" w:pos="1584"/>
        </w:tabs>
        <w:spacing w:before="4" w:line="274" w:lineRule="exact"/>
        <w:ind w:left="1224"/>
        <w:textAlignment w:val="baseline"/>
        <w:rPr>
          <w:rFonts w:eastAsia="Times New Roman"/>
          <w:color w:val="000000"/>
          <w:spacing w:val="-5"/>
          <w:sz w:val="24"/>
        </w:rPr>
      </w:pPr>
      <w:r>
        <w:rPr>
          <w:rFonts w:eastAsia="Times New Roman"/>
          <w:color w:val="000000"/>
          <w:spacing w:val="-5"/>
          <w:sz w:val="24"/>
        </w:rPr>
        <w:t>Author</w:t>
      </w:r>
    </w:p>
    <w:p w:rsidR="00875CDE" w:rsidRDefault="00BA339A">
      <w:pPr>
        <w:numPr>
          <w:ilvl w:val="0"/>
          <w:numId w:val="1"/>
        </w:numPr>
        <w:tabs>
          <w:tab w:val="clear" w:pos="360"/>
          <w:tab w:val="left" w:pos="1584"/>
        </w:tabs>
        <w:spacing w:line="274" w:lineRule="exact"/>
        <w:ind w:left="1224"/>
        <w:textAlignment w:val="baseline"/>
        <w:rPr>
          <w:rFonts w:eastAsia="Times New Roman"/>
          <w:color w:val="000000"/>
          <w:spacing w:val="-6"/>
          <w:sz w:val="24"/>
        </w:rPr>
      </w:pPr>
      <w:r>
        <w:rPr>
          <w:rFonts w:eastAsia="Times New Roman"/>
          <w:color w:val="000000"/>
          <w:spacing w:val="-6"/>
          <w:sz w:val="24"/>
        </w:rPr>
        <w:t>Title</w:t>
      </w:r>
    </w:p>
    <w:p w:rsidR="00875CDE" w:rsidRDefault="00BA339A">
      <w:pPr>
        <w:numPr>
          <w:ilvl w:val="0"/>
          <w:numId w:val="1"/>
        </w:numPr>
        <w:tabs>
          <w:tab w:val="clear" w:pos="360"/>
          <w:tab w:val="left" w:pos="1584"/>
        </w:tabs>
        <w:spacing w:before="4" w:line="274" w:lineRule="exact"/>
        <w:ind w:left="1224"/>
        <w:textAlignment w:val="baseline"/>
        <w:rPr>
          <w:rFonts w:eastAsia="Times New Roman"/>
          <w:color w:val="000000"/>
          <w:spacing w:val="-3"/>
          <w:sz w:val="24"/>
        </w:rPr>
      </w:pPr>
      <w:r>
        <w:rPr>
          <w:rFonts w:eastAsia="Times New Roman"/>
          <w:color w:val="000000"/>
          <w:spacing w:val="-3"/>
          <w:sz w:val="24"/>
        </w:rPr>
        <w:t>Newspaper name</w:t>
      </w:r>
    </w:p>
    <w:p w:rsidR="00875CDE" w:rsidRDefault="00BA339A">
      <w:pPr>
        <w:numPr>
          <w:ilvl w:val="0"/>
          <w:numId w:val="1"/>
        </w:numPr>
        <w:tabs>
          <w:tab w:val="clear" w:pos="360"/>
          <w:tab w:val="left" w:pos="1584"/>
        </w:tabs>
        <w:spacing w:line="274" w:lineRule="exact"/>
        <w:ind w:left="1224"/>
        <w:textAlignment w:val="baseline"/>
        <w:rPr>
          <w:rFonts w:eastAsia="Times New Roman"/>
          <w:color w:val="000000"/>
          <w:spacing w:val="-1"/>
          <w:sz w:val="24"/>
        </w:rPr>
      </w:pPr>
      <w:r>
        <w:rPr>
          <w:rFonts w:eastAsia="Times New Roman"/>
          <w:color w:val="000000"/>
          <w:spacing w:val="-1"/>
          <w:sz w:val="24"/>
        </w:rPr>
        <w:t>Place of publication</w:t>
      </w:r>
    </w:p>
    <w:p w:rsidR="00875CDE" w:rsidRDefault="00BA339A">
      <w:pPr>
        <w:numPr>
          <w:ilvl w:val="0"/>
          <w:numId w:val="1"/>
        </w:numPr>
        <w:tabs>
          <w:tab w:val="clear" w:pos="360"/>
          <w:tab w:val="left" w:pos="1584"/>
        </w:tabs>
        <w:spacing w:before="4" w:line="274" w:lineRule="exact"/>
        <w:ind w:left="1224"/>
        <w:textAlignment w:val="baseline"/>
        <w:rPr>
          <w:rFonts w:eastAsia="Times New Roman"/>
          <w:color w:val="000000"/>
          <w:spacing w:val="-9"/>
          <w:sz w:val="24"/>
        </w:rPr>
      </w:pPr>
      <w:r>
        <w:rPr>
          <w:rFonts w:eastAsia="Times New Roman"/>
          <w:color w:val="000000"/>
          <w:spacing w:val="-9"/>
          <w:sz w:val="24"/>
        </w:rPr>
        <w:t>Date</w:t>
      </w:r>
    </w:p>
    <w:p w:rsidR="00875CDE" w:rsidRDefault="00BA339A">
      <w:pPr>
        <w:numPr>
          <w:ilvl w:val="0"/>
          <w:numId w:val="1"/>
        </w:numPr>
        <w:tabs>
          <w:tab w:val="clear" w:pos="360"/>
          <w:tab w:val="left" w:pos="1584"/>
        </w:tabs>
        <w:spacing w:line="274" w:lineRule="exact"/>
        <w:ind w:left="1224"/>
        <w:textAlignment w:val="baseline"/>
        <w:rPr>
          <w:rFonts w:eastAsia="Times New Roman"/>
          <w:color w:val="000000"/>
          <w:spacing w:val="-4"/>
          <w:sz w:val="24"/>
        </w:rPr>
      </w:pPr>
      <w:r>
        <w:rPr>
          <w:rFonts w:eastAsia="Times New Roman"/>
          <w:color w:val="000000"/>
          <w:spacing w:val="-4"/>
          <w:sz w:val="24"/>
        </w:rPr>
        <w:t>Section</w:t>
      </w:r>
    </w:p>
    <w:p w:rsidR="00875CDE" w:rsidRDefault="00BA339A">
      <w:pPr>
        <w:numPr>
          <w:ilvl w:val="0"/>
          <w:numId w:val="1"/>
        </w:numPr>
        <w:tabs>
          <w:tab w:val="clear" w:pos="360"/>
          <w:tab w:val="left" w:pos="1584"/>
        </w:tabs>
        <w:spacing w:before="4" w:line="274" w:lineRule="exact"/>
        <w:ind w:left="1224"/>
        <w:textAlignment w:val="baseline"/>
        <w:rPr>
          <w:rFonts w:eastAsia="Times New Roman"/>
          <w:color w:val="000000"/>
          <w:spacing w:val="-3"/>
          <w:sz w:val="24"/>
        </w:rPr>
      </w:pPr>
      <w:r>
        <w:rPr>
          <w:rFonts w:eastAsia="Times New Roman"/>
          <w:color w:val="000000"/>
          <w:spacing w:val="-3"/>
          <w:sz w:val="24"/>
        </w:rPr>
        <w:t>Page number</w:t>
      </w:r>
    </w:p>
    <w:p w:rsidR="00875CDE" w:rsidRDefault="00BA339A">
      <w:pPr>
        <w:spacing w:line="276" w:lineRule="exact"/>
        <w:ind w:left="792" w:right="72" w:hanging="360"/>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 xml:space="preserve">Early newspapers often have little of this information and </w:t>
      </w:r>
      <w:proofErr w:type="gramStart"/>
      <w:r>
        <w:rPr>
          <w:rFonts w:eastAsia="Times New Roman"/>
          <w:color w:val="000000"/>
          <w:sz w:val="24"/>
        </w:rPr>
        <w:t>should be referred</w:t>
      </w:r>
      <w:proofErr w:type="gramEnd"/>
      <w:r>
        <w:rPr>
          <w:rFonts w:eastAsia="Times New Roman"/>
          <w:color w:val="000000"/>
          <w:sz w:val="24"/>
        </w:rPr>
        <w:t xml:space="preserve"> to by name and date</w:t>
      </w:r>
    </w:p>
    <w:p w:rsidR="00875CDE" w:rsidRDefault="00BA339A">
      <w:pPr>
        <w:spacing w:before="23" w:line="251" w:lineRule="exact"/>
        <w:ind w:left="432"/>
        <w:textAlignment w:val="baseline"/>
        <w:rPr>
          <w:rFonts w:ascii="Lucida Console" w:eastAsia="Lucida Console" w:hAnsi="Lucida Console"/>
          <w:color w:val="000000"/>
          <w:sz w:val="24"/>
        </w:rPr>
      </w:pPr>
      <w:proofErr w:type="gramStart"/>
      <w:r>
        <w:rPr>
          <w:rFonts w:ascii="Lucida Console" w:eastAsia="Lucida Console" w:hAnsi="Lucida Console"/>
          <w:color w:val="000000"/>
          <w:sz w:val="24"/>
        </w:rPr>
        <w:t xml:space="preserve">* </w:t>
      </w:r>
      <w:r>
        <w:rPr>
          <w:rFonts w:eastAsia="Times New Roman"/>
          <w:color w:val="000000"/>
          <w:sz w:val="24"/>
        </w:rPr>
        <w:t>In bibliographic citations</w:t>
      </w:r>
      <w:proofErr w:type="gramEnd"/>
      <w:r>
        <w:rPr>
          <w:rFonts w:eastAsia="Times New Roman"/>
          <w:color w:val="000000"/>
          <w:sz w:val="24"/>
        </w:rPr>
        <w:t xml:space="preserve"> provide dates for the days, months, or years you consulted</w:t>
      </w:r>
    </w:p>
    <w:p w:rsidR="00875CDE" w:rsidRDefault="00BA339A">
      <w:pPr>
        <w:spacing w:before="579"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875CDE" w:rsidRDefault="00BA339A">
      <w:pPr>
        <w:spacing w:before="277" w:line="277" w:lineRule="exact"/>
        <w:ind w:left="72" w:right="360" w:firstLine="720"/>
        <w:textAlignment w:val="baseline"/>
        <w:rPr>
          <w:rFonts w:eastAsia="Times New Roman"/>
          <w:color w:val="000000"/>
          <w:sz w:val="16"/>
          <w:vertAlign w:val="superscript"/>
        </w:rPr>
      </w:pPr>
      <w:proofErr w:type="gramStart"/>
      <w:r>
        <w:rPr>
          <w:rFonts w:eastAsia="Times New Roman"/>
          <w:color w:val="000000"/>
          <w:sz w:val="16"/>
          <w:vertAlign w:val="superscript"/>
        </w:rPr>
        <w:t>41</w:t>
      </w:r>
      <w:proofErr w:type="gramEnd"/>
      <w:r>
        <w:rPr>
          <w:rFonts w:eastAsia="Times New Roman"/>
          <w:color w:val="000000"/>
          <w:sz w:val="24"/>
        </w:rPr>
        <w:t xml:space="preserve"> Gabe Rose, “Heritage of American Indians Ignored in Education,” </w:t>
      </w:r>
      <w:r>
        <w:rPr>
          <w:rFonts w:eastAsia="Times New Roman"/>
          <w:i/>
          <w:color w:val="000000"/>
          <w:sz w:val="24"/>
        </w:rPr>
        <w:t xml:space="preserve">Indian Country Today </w:t>
      </w:r>
      <w:r>
        <w:rPr>
          <w:rFonts w:eastAsia="Times New Roman"/>
          <w:color w:val="000000"/>
          <w:sz w:val="24"/>
        </w:rPr>
        <w:t>(Canastota, NY), August 16, 2000, A5.</w:t>
      </w:r>
    </w:p>
    <w:p w:rsidR="00875CDE" w:rsidRDefault="00BA339A">
      <w:pPr>
        <w:spacing w:before="271" w:line="276" w:lineRule="exact"/>
        <w:ind w:left="792"/>
        <w:textAlignment w:val="baseline"/>
        <w:rPr>
          <w:rFonts w:eastAsia="Times New Roman"/>
          <w:color w:val="000000"/>
          <w:sz w:val="16"/>
        </w:rPr>
      </w:pPr>
      <w:proofErr w:type="gramStart"/>
      <w:r>
        <w:rPr>
          <w:rFonts w:eastAsia="Times New Roman"/>
          <w:color w:val="000000"/>
          <w:sz w:val="16"/>
        </w:rPr>
        <w:t>42</w:t>
      </w:r>
      <w:proofErr w:type="gramEnd"/>
      <w:r>
        <w:rPr>
          <w:rFonts w:eastAsia="Times New Roman"/>
          <w:color w:val="000000"/>
          <w:sz w:val="16"/>
        </w:rPr>
        <w:t xml:space="preserve"> </w:t>
      </w:r>
      <w:r>
        <w:rPr>
          <w:rFonts w:eastAsia="Times New Roman"/>
          <w:i/>
          <w:color w:val="000000"/>
          <w:sz w:val="24"/>
        </w:rPr>
        <w:t>Pennsylvania Gazette</w:t>
      </w:r>
      <w:r>
        <w:rPr>
          <w:rFonts w:eastAsia="Times New Roman"/>
          <w:color w:val="000000"/>
          <w:sz w:val="24"/>
        </w:rPr>
        <w:t>, November 20, 1755.</w:t>
      </w:r>
    </w:p>
    <w:p w:rsidR="00875CDE" w:rsidRDefault="00BA339A">
      <w:pPr>
        <w:spacing w:before="304"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875CDE" w:rsidRDefault="00BA339A">
      <w:pPr>
        <w:spacing w:before="272" w:line="285" w:lineRule="exact"/>
        <w:ind w:left="72"/>
        <w:textAlignment w:val="baseline"/>
        <w:rPr>
          <w:rFonts w:eastAsia="Times New Roman"/>
          <w:i/>
          <w:color w:val="000000"/>
          <w:sz w:val="24"/>
        </w:rPr>
      </w:pPr>
      <w:r>
        <w:rPr>
          <w:rFonts w:eastAsia="Times New Roman"/>
          <w:i/>
          <w:color w:val="000000"/>
          <w:sz w:val="24"/>
        </w:rPr>
        <w:t xml:space="preserve">Pennsylvania Gazette </w:t>
      </w:r>
      <w:r>
        <w:rPr>
          <w:rFonts w:eastAsia="Times New Roman"/>
          <w:color w:val="000000"/>
          <w:sz w:val="24"/>
        </w:rPr>
        <w:t>(October 1, 1730 – December 23, 1755)</w:t>
      </w:r>
    </w:p>
    <w:p w:rsidR="00875CDE" w:rsidRDefault="00875CDE">
      <w:pPr>
        <w:sectPr w:rsidR="00875CDE">
          <w:pgSz w:w="12240" w:h="15840"/>
          <w:pgMar w:top="1420" w:right="1526" w:bottom="874" w:left="1334" w:header="720" w:footer="720" w:gutter="0"/>
          <w:cols w:space="720"/>
        </w:sectPr>
      </w:pPr>
    </w:p>
    <w:p w:rsidR="00875CDE" w:rsidRDefault="00BA339A">
      <w:pPr>
        <w:spacing w:before="23" w:line="275" w:lineRule="exact"/>
        <w:ind w:right="648"/>
        <w:jc w:val="both"/>
        <w:textAlignment w:val="baseline"/>
        <w:rPr>
          <w:rFonts w:eastAsia="Times New Roman"/>
          <w:color w:val="000000"/>
          <w:sz w:val="24"/>
        </w:rPr>
      </w:pPr>
      <w:r>
        <w:lastRenderedPageBreak/>
        <w:pict>
          <v:shape id="_x0000_s1029" type="#_x0000_t202" style="position:absolute;left:0;text-align:left;margin-left:298.15pt;margin-top:728.5pt;width:15.7pt;height:13.85pt;z-index:-251659264;mso-wrap-distance-left:0;mso-wrap-distance-right:0;mso-position-horizontal-relative:page;mso-position-vertical-relative:page" filled="f" stroked="f">
            <v:textbox inset="0,0,0,0">
              <w:txbxContent>
                <w:p w:rsidR="00875CDE" w:rsidRDefault="00BA339A">
                  <w:pPr>
                    <w:spacing w:before="1" w:line="275" w:lineRule="exact"/>
                    <w:textAlignment w:val="baseline"/>
                    <w:rPr>
                      <w:rFonts w:eastAsia="Times New Roman"/>
                      <w:color w:val="000000"/>
                      <w:sz w:val="24"/>
                    </w:rPr>
                  </w:pPr>
                  <w:r>
                    <w:rPr>
                      <w:rFonts w:eastAsia="Times New Roman"/>
                      <w:color w:val="000000"/>
                      <w:sz w:val="24"/>
                    </w:rPr>
                    <w:t>4</w:t>
                  </w:r>
                </w:p>
              </w:txbxContent>
            </v:textbox>
            <w10:wrap type="square" anchorx="page" anchory="page"/>
          </v:shape>
        </w:pict>
      </w:r>
      <w:r>
        <w:rPr>
          <w:rFonts w:eastAsia="Times New Roman"/>
          <w:color w:val="000000"/>
          <w:sz w:val="24"/>
        </w:rPr>
        <w:t xml:space="preserve">Rose, Gabe. “Heritage of American Indians Ignored in Education.” </w:t>
      </w:r>
      <w:r>
        <w:rPr>
          <w:rFonts w:eastAsia="Times New Roman"/>
          <w:i/>
          <w:color w:val="000000"/>
          <w:sz w:val="24"/>
        </w:rPr>
        <w:t xml:space="preserve">Indian Country Today </w:t>
      </w:r>
      <w:r>
        <w:rPr>
          <w:rFonts w:eastAsia="Times New Roman"/>
          <w:color w:val="000000"/>
          <w:sz w:val="24"/>
        </w:rPr>
        <w:t>(Canastota, NY), August 16, 2000, A5.</w:t>
      </w:r>
    </w:p>
    <w:p w:rsidR="00875CDE" w:rsidRDefault="00BA339A">
      <w:pPr>
        <w:spacing w:before="287" w:line="644" w:lineRule="exact"/>
        <w:ind w:right="504" w:firstLine="504"/>
        <w:jc w:val="both"/>
        <w:textAlignment w:val="baseline"/>
        <w:rPr>
          <w:rFonts w:eastAsia="Times New Roman"/>
          <w:b/>
          <w:color w:val="000000"/>
          <w:sz w:val="28"/>
        </w:rPr>
      </w:pPr>
      <w:r>
        <w:rPr>
          <w:rFonts w:eastAsia="Times New Roman"/>
          <w:b/>
          <w:color w:val="000000"/>
          <w:sz w:val="28"/>
        </w:rPr>
        <w:t>Primary Sources, Manuscript Collections, and Unpublished Materials Primary Sources in a Published Collection</w:t>
      </w:r>
    </w:p>
    <w:p w:rsidR="00875CDE" w:rsidRDefault="00BA339A">
      <w:pPr>
        <w:spacing w:before="268" w:line="276" w:lineRule="exact"/>
        <w:ind w:left="432" w:right="2952"/>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 xml:space="preserve">You cite these in a manner similar to a chapter in a book. </w:t>
      </w:r>
      <w:r>
        <w:rPr>
          <w:rFonts w:ascii="Lucida Console" w:eastAsia="Lucida Console" w:hAnsi="Lucida Console"/>
          <w:color w:val="000000"/>
          <w:sz w:val="24"/>
        </w:rPr>
        <w:t xml:space="preserve">* </w:t>
      </w:r>
      <w:r>
        <w:rPr>
          <w:rFonts w:eastAsia="Times New Roman"/>
          <w:color w:val="000000"/>
          <w:sz w:val="24"/>
        </w:rPr>
        <w:t>It is especially important to include editors and translators</w:t>
      </w:r>
    </w:p>
    <w:p w:rsidR="00875CDE" w:rsidRDefault="00BA339A">
      <w:pPr>
        <w:spacing w:line="276" w:lineRule="exact"/>
        <w:ind w:left="792" w:right="216" w:hanging="360"/>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If the document has a different editor and/or translator, this information should appear before the title of the collection.</w:t>
      </w:r>
    </w:p>
    <w:p w:rsidR="00875CDE" w:rsidRDefault="00BA339A">
      <w:pPr>
        <w:spacing w:before="301"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w:t>
      </w:r>
      <w:r>
        <w:rPr>
          <w:rFonts w:eastAsia="Times New Roman"/>
          <w:color w:val="000000"/>
          <w:spacing w:val="2"/>
          <w:sz w:val="24"/>
          <w:u w:val="single"/>
        </w:rPr>
        <w:t>note/Endnote Form</w:t>
      </w:r>
    </w:p>
    <w:p w:rsidR="00875CDE" w:rsidRDefault="00BA339A">
      <w:pPr>
        <w:spacing w:before="277" w:line="275" w:lineRule="exact"/>
        <w:ind w:right="504" w:firstLine="432"/>
        <w:jc w:val="both"/>
        <w:textAlignment w:val="baseline"/>
        <w:rPr>
          <w:rFonts w:eastAsia="Times New Roman"/>
          <w:color w:val="000000"/>
          <w:spacing w:val="-1"/>
          <w:sz w:val="16"/>
          <w:vertAlign w:val="superscript"/>
        </w:rPr>
      </w:pPr>
      <w:r>
        <w:rPr>
          <w:rFonts w:eastAsia="Times New Roman"/>
          <w:color w:val="000000"/>
          <w:spacing w:val="-1"/>
          <w:sz w:val="16"/>
          <w:vertAlign w:val="superscript"/>
        </w:rPr>
        <w:t>54</w:t>
      </w:r>
      <w:r>
        <w:rPr>
          <w:rFonts w:eastAsia="Times New Roman"/>
          <w:color w:val="000000"/>
          <w:spacing w:val="-1"/>
          <w:sz w:val="24"/>
        </w:rPr>
        <w:t xml:space="preserve"> Helga </w:t>
      </w:r>
      <w:proofErr w:type="spellStart"/>
      <w:r>
        <w:rPr>
          <w:rFonts w:eastAsia="Times New Roman"/>
          <w:color w:val="000000"/>
          <w:spacing w:val="-1"/>
          <w:sz w:val="24"/>
        </w:rPr>
        <w:t>Emde</w:t>
      </w:r>
      <w:proofErr w:type="spellEnd"/>
      <w:r>
        <w:rPr>
          <w:rFonts w:eastAsia="Times New Roman"/>
          <w:color w:val="000000"/>
          <w:spacing w:val="-1"/>
          <w:sz w:val="24"/>
        </w:rPr>
        <w:t xml:space="preserve">, “An ‘Occupation Baby’ in Postwar Germany,” in </w:t>
      </w:r>
      <w:r>
        <w:rPr>
          <w:rFonts w:eastAsia="Times New Roman"/>
          <w:i/>
          <w:color w:val="000000"/>
          <w:spacing w:val="-1"/>
          <w:sz w:val="24"/>
        </w:rPr>
        <w:t xml:space="preserve">Showing Our Colors: Afro-German Women Speak </w:t>
      </w:r>
      <w:proofErr w:type="gramStart"/>
      <w:r>
        <w:rPr>
          <w:rFonts w:eastAsia="Times New Roman"/>
          <w:i/>
          <w:color w:val="000000"/>
          <w:spacing w:val="-1"/>
          <w:sz w:val="24"/>
        </w:rPr>
        <w:t>Out</w:t>
      </w:r>
      <w:r>
        <w:rPr>
          <w:rFonts w:eastAsia="Times New Roman"/>
          <w:color w:val="000000"/>
          <w:spacing w:val="-1"/>
          <w:sz w:val="24"/>
        </w:rPr>
        <w:t>,</w:t>
      </w:r>
      <w:proofErr w:type="gramEnd"/>
      <w:r>
        <w:rPr>
          <w:rFonts w:eastAsia="Times New Roman"/>
          <w:color w:val="000000"/>
          <w:spacing w:val="-1"/>
          <w:sz w:val="24"/>
        </w:rPr>
        <w:t xml:space="preserve"> ed. May </w:t>
      </w:r>
      <w:proofErr w:type="spellStart"/>
      <w:r>
        <w:rPr>
          <w:rFonts w:eastAsia="Times New Roman"/>
          <w:color w:val="000000"/>
          <w:spacing w:val="-1"/>
          <w:sz w:val="24"/>
        </w:rPr>
        <w:t>Opitz</w:t>
      </w:r>
      <w:proofErr w:type="spellEnd"/>
      <w:r>
        <w:rPr>
          <w:rFonts w:eastAsia="Times New Roman"/>
          <w:color w:val="000000"/>
          <w:spacing w:val="-1"/>
          <w:sz w:val="24"/>
        </w:rPr>
        <w:t xml:space="preserve">, Katharina </w:t>
      </w:r>
      <w:proofErr w:type="spellStart"/>
      <w:r>
        <w:rPr>
          <w:rFonts w:eastAsia="Times New Roman"/>
          <w:color w:val="000000"/>
          <w:spacing w:val="-1"/>
          <w:sz w:val="24"/>
        </w:rPr>
        <w:t>Oguntoye</w:t>
      </w:r>
      <w:proofErr w:type="spellEnd"/>
      <w:r>
        <w:rPr>
          <w:rFonts w:eastAsia="Times New Roman"/>
          <w:color w:val="000000"/>
          <w:spacing w:val="-1"/>
          <w:sz w:val="24"/>
        </w:rPr>
        <w:t>, and Dagmar Schultz, trans. Anne V. Adams (</w:t>
      </w:r>
      <w:proofErr w:type="spellStart"/>
      <w:r>
        <w:rPr>
          <w:rFonts w:eastAsia="Times New Roman"/>
          <w:color w:val="000000"/>
          <w:spacing w:val="-1"/>
          <w:sz w:val="24"/>
        </w:rPr>
        <w:t>Amhurst</w:t>
      </w:r>
      <w:proofErr w:type="spellEnd"/>
      <w:r>
        <w:rPr>
          <w:rFonts w:eastAsia="Times New Roman"/>
          <w:color w:val="000000"/>
          <w:spacing w:val="-1"/>
          <w:sz w:val="24"/>
        </w:rPr>
        <w:t>: The University of Massachusetts Press, 1986), 103.</w:t>
      </w:r>
    </w:p>
    <w:p w:rsidR="00875CDE" w:rsidRDefault="00BA339A">
      <w:pPr>
        <w:spacing w:before="301"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875CDE" w:rsidRDefault="00BA339A">
      <w:pPr>
        <w:spacing w:before="285" w:line="275" w:lineRule="exact"/>
        <w:ind w:left="792" w:right="504" w:hanging="792"/>
        <w:textAlignment w:val="baseline"/>
        <w:rPr>
          <w:rFonts w:eastAsia="Times New Roman"/>
          <w:color w:val="000000"/>
          <w:sz w:val="24"/>
        </w:rPr>
      </w:pPr>
      <w:proofErr w:type="spellStart"/>
      <w:r>
        <w:rPr>
          <w:rFonts w:eastAsia="Times New Roman"/>
          <w:color w:val="000000"/>
          <w:sz w:val="24"/>
        </w:rPr>
        <w:t>Emde</w:t>
      </w:r>
      <w:proofErr w:type="spellEnd"/>
      <w:r>
        <w:rPr>
          <w:rFonts w:eastAsia="Times New Roman"/>
          <w:color w:val="000000"/>
          <w:sz w:val="24"/>
        </w:rPr>
        <w:t xml:space="preserve">, Helga. “An ‘Occupation Baby’ in Postwar Germany.” In </w:t>
      </w:r>
      <w:r>
        <w:rPr>
          <w:rFonts w:eastAsia="Times New Roman"/>
          <w:i/>
          <w:color w:val="000000"/>
          <w:sz w:val="24"/>
        </w:rPr>
        <w:t xml:space="preserve">Showing Our Colors: Afro-German Women </w:t>
      </w:r>
      <w:r>
        <w:rPr>
          <w:rFonts w:eastAsia="Times New Roman"/>
          <w:i/>
          <w:color w:val="000000"/>
          <w:sz w:val="24"/>
        </w:rPr>
        <w:t>Speak Out</w:t>
      </w:r>
      <w:r>
        <w:rPr>
          <w:rFonts w:eastAsia="Times New Roman"/>
          <w:color w:val="000000"/>
          <w:sz w:val="24"/>
        </w:rPr>
        <w:t xml:space="preserve">, edited by May </w:t>
      </w:r>
      <w:proofErr w:type="spellStart"/>
      <w:r>
        <w:rPr>
          <w:rFonts w:eastAsia="Times New Roman"/>
          <w:color w:val="000000"/>
          <w:sz w:val="24"/>
        </w:rPr>
        <w:t>Opitz</w:t>
      </w:r>
      <w:proofErr w:type="spellEnd"/>
      <w:r>
        <w:rPr>
          <w:rFonts w:eastAsia="Times New Roman"/>
          <w:color w:val="000000"/>
          <w:sz w:val="24"/>
        </w:rPr>
        <w:t xml:space="preserve">, Katharina </w:t>
      </w:r>
      <w:proofErr w:type="spellStart"/>
      <w:r>
        <w:rPr>
          <w:rFonts w:eastAsia="Times New Roman"/>
          <w:color w:val="000000"/>
          <w:sz w:val="24"/>
        </w:rPr>
        <w:t>Oguntoye</w:t>
      </w:r>
      <w:proofErr w:type="spellEnd"/>
      <w:r>
        <w:rPr>
          <w:rFonts w:eastAsia="Times New Roman"/>
          <w:color w:val="000000"/>
          <w:sz w:val="24"/>
        </w:rPr>
        <w:t xml:space="preserve">, and Dagmar Schultz, Translated by Anne V. Adams, 101 – 111. </w:t>
      </w:r>
      <w:proofErr w:type="spellStart"/>
      <w:r>
        <w:rPr>
          <w:rFonts w:eastAsia="Times New Roman"/>
          <w:color w:val="000000"/>
          <w:sz w:val="24"/>
        </w:rPr>
        <w:t>Amhurst</w:t>
      </w:r>
      <w:proofErr w:type="spellEnd"/>
      <w:r>
        <w:rPr>
          <w:rFonts w:eastAsia="Times New Roman"/>
          <w:color w:val="000000"/>
          <w:sz w:val="24"/>
        </w:rPr>
        <w:t>: The University of Massachusetts Press, 1986.</w:t>
      </w:r>
    </w:p>
    <w:p w:rsidR="00875CDE" w:rsidRDefault="00BA339A">
      <w:pPr>
        <w:spacing w:before="558" w:line="326" w:lineRule="exact"/>
        <w:textAlignment w:val="baseline"/>
        <w:rPr>
          <w:rFonts w:eastAsia="Times New Roman"/>
          <w:b/>
          <w:color w:val="000000"/>
          <w:sz w:val="28"/>
        </w:rPr>
      </w:pPr>
      <w:r>
        <w:rPr>
          <w:rFonts w:eastAsia="Times New Roman"/>
          <w:b/>
          <w:color w:val="000000"/>
          <w:sz w:val="28"/>
        </w:rPr>
        <w:t>Manuscript Collections</w:t>
      </w:r>
    </w:p>
    <w:p w:rsidR="00875CDE" w:rsidRDefault="00BA339A">
      <w:pPr>
        <w:spacing w:before="266" w:line="276"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rPr>
        <w:t>Usually include</w:t>
      </w:r>
    </w:p>
    <w:p w:rsidR="00875CDE" w:rsidRDefault="00BA339A">
      <w:pPr>
        <w:numPr>
          <w:ilvl w:val="0"/>
          <w:numId w:val="1"/>
        </w:numPr>
        <w:tabs>
          <w:tab w:val="clear" w:pos="360"/>
          <w:tab w:val="left" w:pos="1512"/>
        </w:tabs>
        <w:spacing w:before="2" w:line="276" w:lineRule="exact"/>
        <w:ind w:left="1152"/>
        <w:textAlignment w:val="baseline"/>
        <w:rPr>
          <w:rFonts w:eastAsia="Times New Roman"/>
          <w:color w:val="000000"/>
          <w:sz w:val="24"/>
        </w:rPr>
      </w:pPr>
      <w:r>
        <w:rPr>
          <w:rFonts w:eastAsia="Times New Roman"/>
          <w:color w:val="000000"/>
          <w:sz w:val="24"/>
        </w:rPr>
        <w:t>Author and date, when possible</w:t>
      </w:r>
    </w:p>
    <w:p w:rsidR="00875CDE" w:rsidRDefault="00BA339A">
      <w:pPr>
        <w:numPr>
          <w:ilvl w:val="0"/>
          <w:numId w:val="1"/>
        </w:numPr>
        <w:tabs>
          <w:tab w:val="clear" w:pos="360"/>
          <w:tab w:val="left" w:pos="1512"/>
        </w:tabs>
        <w:spacing w:line="274" w:lineRule="exact"/>
        <w:ind w:left="1152"/>
        <w:textAlignment w:val="baseline"/>
        <w:rPr>
          <w:rFonts w:eastAsia="Times New Roman"/>
          <w:color w:val="000000"/>
          <w:sz w:val="24"/>
        </w:rPr>
      </w:pPr>
      <w:r>
        <w:rPr>
          <w:rFonts w:eastAsia="Times New Roman"/>
          <w:color w:val="000000"/>
          <w:sz w:val="24"/>
        </w:rPr>
        <w:t>Title or type of document</w:t>
      </w:r>
    </w:p>
    <w:p w:rsidR="00875CDE" w:rsidRDefault="00BA339A">
      <w:pPr>
        <w:numPr>
          <w:ilvl w:val="0"/>
          <w:numId w:val="1"/>
        </w:numPr>
        <w:tabs>
          <w:tab w:val="clear" w:pos="360"/>
          <w:tab w:val="left" w:pos="1512"/>
        </w:tabs>
        <w:spacing w:before="2" w:line="276" w:lineRule="exact"/>
        <w:ind w:left="1152"/>
        <w:textAlignment w:val="baseline"/>
        <w:rPr>
          <w:rFonts w:eastAsia="Times New Roman"/>
          <w:color w:val="000000"/>
          <w:sz w:val="24"/>
        </w:rPr>
      </w:pPr>
      <w:r>
        <w:rPr>
          <w:rFonts w:eastAsia="Times New Roman"/>
          <w:color w:val="000000"/>
          <w:sz w:val="24"/>
        </w:rPr>
        <w:t>Name of the collection</w:t>
      </w:r>
    </w:p>
    <w:p w:rsidR="00875CDE" w:rsidRDefault="00BA339A">
      <w:pPr>
        <w:numPr>
          <w:ilvl w:val="0"/>
          <w:numId w:val="1"/>
        </w:numPr>
        <w:tabs>
          <w:tab w:val="clear" w:pos="360"/>
          <w:tab w:val="left" w:pos="1512"/>
        </w:tabs>
        <w:spacing w:line="274" w:lineRule="exact"/>
        <w:ind w:left="1152"/>
        <w:textAlignment w:val="baseline"/>
        <w:rPr>
          <w:rFonts w:eastAsia="Times New Roman"/>
          <w:color w:val="000000"/>
          <w:sz w:val="24"/>
        </w:rPr>
      </w:pPr>
      <w:r>
        <w:rPr>
          <w:rFonts w:eastAsia="Times New Roman"/>
          <w:color w:val="000000"/>
          <w:sz w:val="24"/>
        </w:rPr>
        <w:t>Name of the depository</w:t>
      </w:r>
    </w:p>
    <w:p w:rsidR="00875CDE" w:rsidRDefault="00BA339A">
      <w:pPr>
        <w:spacing w:before="301"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875CDE" w:rsidRDefault="00BA339A">
      <w:pPr>
        <w:spacing w:before="279" w:line="276" w:lineRule="exact"/>
        <w:ind w:firstLine="432"/>
        <w:textAlignment w:val="baseline"/>
        <w:rPr>
          <w:rFonts w:eastAsia="Times New Roman"/>
          <w:color w:val="000000"/>
          <w:sz w:val="16"/>
          <w:vertAlign w:val="superscript"/>
        </w:rPr>
      </w:pPr>
      <w:r>
        <w:rPr>
          <w:rFonts w:eastAsia="Times New Roman"/>
          <w:color w:val="000000"/>
          <w:sz w:val="16"/>
          <w:vertAlign w:val="superscript"/>
        </w:rPr>
        <w:t>35</w:t>
      </w:r>
      <w:r>
        <w:rPr>
          <w:rFonts w:eastAsia="Times New Roman"/>
          <w:color w:val="000000"/>
          <w:sz w:val="24"/>
        </w:rPr>
        <w:t xml:space="preserve"> Felix J. Underwood, October 27, 1926, “Address </w:t>
      </w:r>
      <w:proofErr w:type="gramStart"/>
      <w:r>
        <w:rPr>
          <w:rFonts w:eastAsia="Times New Roman"/>
          <w:color w:val="000000"/>
          <w:sz w:val="24"/>
        </w:rPr>
        <w:t>Before</w:t>
      </w:r>
      <w:proofErr w:type="gramEnd"/>
      <w:r>
        <w:rPr>
          <w:rFonts w:eastAsia="Times New Roman"/>
          <w:color w:val="000000"/>
          <w:sz w:val="24"/>
        </w:rPr>
        <w:t xml:space="preserve"> the Annual State W.C.T.U., Burney (Madge) Papers, M4, McCain Library and Archives, University of Southe</w:t>
      </w:r>
      <w:r>
        <w:rPr>
          <w:rFonts w:eastAsia="Times New Roman"/>
          <w:color w:val="000000"/>
          <w:sz w:val="24"/>
        </w:rPr>
        <w:t>rn Mississippi, Hattiesburg.</w:t>
      </w:r>
    </w:p>
    <w:p w:rsidR="00875CDE" w:rsidRDefault="00BA339A">
      <w:pPr>
        <w:spacing w:before="274" w:line="276" w:lineRule="exact"/>
        <w:ind w:left="432" w:right="504"/>
        <w:jc w:val="both"/>
        <w:textAlignment w:val="baseline"/>
        <w:rPr>
          <w:rFonts w:ascii="Lucida Console" w:eastAsia="Lucida Console" w:hAnsi="Lucida Console"/>
          <w:color w:val="000000"/>
          <w:sz w:val="24"/>
        </w:rPr>
      </w:pPr>
      <w:proofErr w:type="gramStart"/>
      <w:r>
        <w:rPr>
          <w:rFonts w:ascii="Lucida Console" w:eastAsia="Lucida Console" w:hAnsi="Lucida Console"/>
          <w:color w:val="000000"/>
          <w:sz w:val="24"/>
        </w:rPr>
        <w:t xml:space="preserve">* </w:t>
      </w:r>
      <w:r>
        <w:rPr>
          <w:rFonts w:eastAsia="Times New Roman"/>
          <w:color w:val="000000"/>
          <w:sz w:val="24"/>
        </w:rPr>
        <w:t>For secondary references</w:t>
      </w:r>
      <w:proofErr w:type="gramEnd"/>
      <w:r>
        <w:rPr>
          <w:rFonts w:eastAsia="Times New Roman"/>
          <w:color w:val="000000"/>
          <w:sz w:val="24"/>
        </w:rPr>
        <w:t xml:space="preserve"> include as much information as is necessary to identify the document</w:t>
      </w:r>
    </w:p>
    <w:p w:rsidR="00875CDE" w:rsidRDefault="00BA339A">
      <w:pPr>
        <w:spacing w:before="276" w:line="276" w:lineRule="exact"/>
        <w:ind w:left="432"/>
        <w:textAlignment w:val="baseline"/>
        <w:rPr>
          <w:rFonts w:eastAsia="Times New Roman"/>
          <w:color w:val="000000"/>
          <w:spacing w:val="1"/>
          <w:sz w:val="24"/>
        </w:rPr>
      </w:pPr>
      <w:r>
        <w:rPr>
          <w:rFonts w:eastAsia="Times New Roman"/>
          <w:color w:val="000000"/>
          <w:spacing w:val="1"/>
          <w:sz w:val="24"/>
        </w:rPr>
        <w:t>2. Underwood, October 1926, “Address,” Burney Papers.</w:t>
      </w:r>
    </w:p>
    <w:p w:rsidR="00875CDE" w:rsidRDefault="00875CDE">
      <w:pPr>
        <w:sectPr w:rsidR="00875CDE">
          <w:pgSz w:w="12240" w:h="15840"/>
          <w:pgMar w:top="1420" w:right="1478" w:bottom="874" w:left="1382" w:header="720" w:footer="720" w:gutter="0"/>
          <w:cols w:space="720"/>
        </w:sectPr>
      </w:pPr>
    </w:p>
    <w:p w:rsidR="00875CDE" w:rsidRDefault="00BA339A">
      <w:pPr>
        <w:spacing w:before="48" w:line="248" w:lineRule="exact"/>
        <w:ind w:left="432"/>
        <w:textAlignment w:val="baseline"/>
        <w:rPr>
          <w:rFonts w:ascii="Lucida Console" w:eastAsia="Lucida Console" w:hAnsi="Lucida Console"/>
          <w:color w:val="000000"/>
          <w:spacing w:val="2"/>
          <w:sz w:val="24"/>
        </w:rPr>
      </w:pPr>
      <w:r>
        <w:lastRenderedPageBreak/>
        <w:pict>
          <v:shape id="_x0000_s1028" type="#_x0000_t202" style="position:absolute;left:0;text-align:left;margin-left:298.65pt;margin-top:728.5pt;width:14.7pt;height:13.75pt;z-index:-251658240;mso-wrap-distance-left:0;mso-wrap-distance-right:0;mso-position-horizontal-relative:page;mso-position-vertical-relative:page" filled="f" stroked="f">
            <v:textbox inset="0,0,0,0">
              <w:txbxContent>
                <w:p w:rsidR="00875CDE" w:rsidRDefault="00BA339A">
                  <w:pPr>
                    <w:spacing w:line="262" w:lineRule="exact"/>
                    <w:textAlignment w:val="baseline"/>
                    <w:rPr>
                      <w:rFonts w:eastAsia="Times New Roman"/>
                      <w:color w:val="000000"/>
                      <w:sz w:val="24"/>
                    </w:rPr>
                  </w:pPr>
                  <w:r>
                    <w:rPr>
                      <w:rFonts w:eastAsia="Times New Roman"/>
                      <w:color w:val="000000"/>
                      <w:sz w:val="24"/>
                    </w:rPr>
                    <w:t>5</w:t>
                  </w:r>
                </w:p>
              </w:txbxContent>
            </v:textbox>
            <w10:wrap type="square" anchorx="page" anchory="page"/>
          </v:shape>
        </w:pict>
      </w: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875CDE" w:rsidRDefault="00BA339A">
      <w:pPr>
        <w:spacing w:before="277" w:line="276" w:lineRule="exact"/>
        <w:ind w:left="72"/>
        <w:textAlignment w:val="baseline"/>
        <w:rPr>
          <w:rFonts w:eastAsia="Times New Roman"/>
          <w:color w:val="000000"/>
          <w:sz w:val="24"/>
        </w:rPr>
      </w:pPr>
      <w:r>
        <w:rPr>
          <w:rFonts w:eastAsia="Times New Roman"/>
          <w:color w:val="000000"/>
          <w:sz w:val="24"/>
        </w:rPr>
        <w:t>Manuscript Collections</w:t>
      </w:r>
    </w:p>
    <w:p w:rsidR="00875CDE" w:rsidRDefault="00BA339A">
      <w:pPr>
        <w:spacing w:line="276" w:lineRule="exact"/>
        <w:ind w:left="1512" w:right="1080" w:hanging="720"/>
        <w:textAlignment w:val="baseline"/>
        <w:rPr>
          <w:rFonts w:eastAsia="Times New Roman"/>
          <w:color w:val="000000"/>
          <w:sz w:val="24"/>
        </w:rPr>
      </w:pPr>
      <w:r>
        <w:rPr>
          <w:rFonts w:eastAsia="Times New Roman"/>
          <w:color w:val="000000"/>
          <w:sz w:val="24"/>
        </w:rPr>
        <w:t>Madge Burney Papers. McCain Library and Archives. University of Southern Mississippi, Hattiesburg.</w:t>
      </w:r>
    </w:p>
    <w:p w:rsidR="00875CDE" w:rsidRDefault="00BA339A">
      <w:pPr>
        <w:spacing w:before="560" w:line="327" w:lineRule="exact"/>
        <w:ind w:left="72"/>
        <w:textAlignment w:val="baseline"/>
        <w:rPr>
          <w:rFonts w:eastAsia="Times New Roman"/>
          <w:b/>
          <w:color w:val="000000"/>
          <w:sz w:val="28"/>
        </w:rPr>
      </w:pPr>
      <w:r>
        <w:rPr>
          <w:rFonts w:eastAsia="Times New Roman"/>
          <w:b/>
          <w:color w:val="000000"/>
          <w:sz w:val="28"/>
        </w:rPr>
        <w:t>Unpublished Thesis or Dissertation</w:t>
      </w:r>
    </w:p>
    <w:p w:rsidR="00875CDE" w:rsidRDefault="00BA339A">
      <w:pPr>
        <w:spacing w:before="290"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875CDE" w:rsidRDefault="00BA339A">
      <w:pPr>
        <w:spacing w:before="273" w:line="276" w:lineRule="exact"/>
        <w:ind w:left="72" w:right="432" w:firstLine="360"/>
        <w:textAlignment w:val="baseline"/>
        <w:rPr>
          <w:rFonts w:eastAsia="Times New Roman"/>
          <w:color w:val="000000"/>
          <w:sz w:val="16"/>
          <w:vertAlign w:val="superscript"/>
        </w:rPr>
      </w:pPr>
      <w:proofErr w:type="gramStart"/>
      <w:r>
        <w:rPr>
          <w:rFonts w:eastAsia="Times New Roman"/>
          <w:color w:val="000000"/>
          <w:sz w:val="16"/>
          <w:vertAlign w:val="superscript"/>
        </w:rPr>
        <w:t>16</w:t>
      </w:r>
      <w:proofErr w:type="gramEnd"/>
      <w:r>
        <w:rPr>
          <w:rFonts w:eastAsia="Times New Roman"/>
          <w:color w:val="000000"/>
          <w:sz w:val="24"/>
        </w:rPr>
        <w:t xml:space="preserve"> Rebecca </w:t>
      </w:r>
      <w:proofErr w:type="spellStart"/>
      <w:r>
        <w:rPr>
          <w:rFonts w:eastAsia="Times New Roman"/>
          <w:color w:val="000000"/>
          <w:sz w:val="24"/>
        </w:rPr>
        <w:t>Tuuri</w:t>
      </w:r>
      <w:proofErr w:type="spellEnd"/>
      <w:r>
        <w:rPr>
          <w:rFonts w:eastAsia="Times New Roman"/>
          <w:color w:val="000000"/>
          <w:sz w:val="24"/>
        </w:rPr>
        <w:t>, “Building Bridges of Understanding: The Activism of Wednesdays in Mississippi” (PhD diss., Rutgers University, 2012), 54.</w:t>
      </w:r>
    </w:p>
    <w:p w:rsidR="00875CDE" w:rsidRDefault="00BA339A">
      <w:pPr>
        <w:spacing w:before="304"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875CDE" w:rsidRDefault="00BA339A">
      <w:pPr>
        <w:spacing w:before="280" w:line="276" w:lineRule="exact"/>
        <w:ind w:left="792" w:right="1008" w:hanging="720"/>
        <w:textAlignment w:val="baseline"/>
        <w:rPr>
          <w:rFonts w:eastAsia="Times New Roman"/>
          <w:color w:val="000000"/>
          <w:sz w:val="24"/>
        </w:rPr>
      </w:pPr>
      <w:proofErr w:type="spellStart"/>
      <w:r>
        <w:rPr>
          <w:rFonts w:eastAsia="Times New Roman"/>
          <w:color w:val="000000"/>
          <w:sz w:val="24"/>
        </w:rPr>
        <w:t>Tuuri</w:t>
      </w:r>
      <w:proofErr w:type="spellEnd"/>
      <w:r>
        <w:rPr>
          <w:rFonts w:eastAsia="Times New Roman"/>
          <w:color w:val="000000"/>
          <w:sz w:val="24"/>
        </w:rPr>
        <w:t>, Rebecca. “Building Bridges of Understanding: The Activism of Wednesdays in Mississippi.” Ph</w:t>
      </w:r>
      <w:r>
        <w:rPr>
          <w:rFonts w:eastAsia="Times New Roman"/>
          <w:color w:val="000000"/>
          <w:sz w:val="24"/>
        </w:rPr>
        <w:t>D diss., Rutgers University, 2012.</w:t>
      </w:r>
    </w:p>
    <w:p w:rsidR="00875CDE" w:rsidRDefault="00BA339A">
      <w:pPr>
        <w:spacing w:before="559" w:line="327" w:lineRule="exact"/>
        <w:ind w:left="72"/>
        <w:textAlignment w:val="baseline"/>
        <w:rPr>
          <w:rFonts w:eastAsia="Times New Roman"/>
          <w:b/>
          <w:color w:val="000000"/>
          <w:sz w:val="28"/>
        </w:rPr>
      </w:pPr>
      <w:r>
        <w:rPr>
          <w:rFonts w:eastAsia="Times New Roman"/>
          <w:b/>
          <w:color w:val="000000"/>
          <w:sz w:val="28"/>
        </w:rPr>
        <w:t>Conference Paper or Published Conference Proceedings</w:t>
      </w:r>
    </w:p>
    <w:p w:rsidR="00875CDE" w:rsidRDefault="00BA339A">
      <w:pPr>
        <w:spacing w:before="290"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875CDE" w:rsidRDefault="00BA339A">
      <w:pPr>
        <w:spacing w:before="275" w:line="276" w:lineRule="exact"/>
        <w:ind w:left="72" w:right="144" w:firstLine="360"/>
        <w:textAlignment w:val="baseline"/>
        <w:rPr>
          <w:rFonts w:eastAsia="Times New Roman"/>
          <w:color w:val="000000"/>
          <w:sz w:val="16"/>
          <w:vertAlign w:val="superscript"/>
        </w:rPr>
      </w:pPr>
      <w:proofErr w:type="gramStart"/>
      <w:r>
        <w:rPr>
          <w:rFonts w:eastAsia="Times New Roman"/>
          <w:color w:val="000000"/>
          <w:sz w:val="16"/>
          <w:vertAlign w:val="superscript"/>
        </w:rPr>
        <w:t>21</w:t>
      </w:r>
      <w:proofErr w:type="gramEnd"/>
      <w:r>
        <w:rPr>
          <w:rFonts w:eastAsia="Times New Roman"/>
          <w:color w:val="000000"/>
          <w:sz w:val="24"/>
        </w:rPr>
        <w:t xml:space="preserve"> Deanne Stephens </w:t>
      </w:r>
      <w:proofErr w:type="spellStart"/>
      <w:r>
        <w:rPr>
          <w:rFonts w:eastAsia="Times New Roman"/>
          <w:color w:val="000000"/>
          <w:sz w:val="24"/>
        </w:rPr>
        <w:t>Nuwer</w:t>
      </w:r>
      <w:proofErr w:type="spellEnd"/>
      <w:r>
        <w:rPr>
          <w:rFonts w:eastAsia="Times New Roman"/>
          <w:color w:val="000000"/>
          <w:sz w:val="24"/>
        </w:rPr>
        <w:t xml:space="preserve">, “Sharing the Work: Biloxi Women in the Seafood Industry,” in </w:t>
      </w:r>
      <w:r>
        <w:rPr>
          <w:rFonts w:eastAsia="Times New Roman"/>
          <w:i/>
          <w:color w:val="000000"/>
          <w:sz w:val="24"/>
        </w:rPr>
        <w:t>Perspectives on Gender, Race, Ethnicity and Power in Mari</w:t>
      </w:r>
      <w:r>
        <w:rPr>
          <w:rFonts w:eastAsia="Times New Roman"/>
          <w:i/>
          <w:color w:val="000000"/>
          <w:sz w:val="24"/>
        </w:rPr>
        <w:t>time America: Papers from the Conference Held at Mystic Seaport, September 2006</w:t>
      </w:r>
      <w:r>
        <w:rPr>
          <w:rFonts w:eastAsia="Times New Roman"/>
          <w:color w:val="000000"/>
          <w:sz w:val="24"/>
        </w:rPr>
        <w:t xml:space="preserve">, ed. Glenn S. </w:t>
      </w:r>
      <w:proofErr w:type="spellStart"/>
      <w:r>
        <w:rPr>
          <w:rFonts w:eastAsia="Times New Roman"/>
          <w:color w:val="000000"/>
          <w:sz w:val="24"/>
        </w:rPr>
        <w:t>Gordinier</w:t>
      </w:r>
      <w:proofErr w:type="spellEnd"/>
      <w:r>
        <w:rPr>
          <w:rFonts w:eastAsia="Times New Roman"/>
          <w:color w:val="000000"/>
          <w:sz w:val="24"/>
        </w:rPr>
        <w:t xml:space="preserve"> (Mystic, CT: Mystic Seaport Museum Press, 2008), 161.</w:t>
      </w:r>
    </w:p>
    <w:p w:rsidR="00875CDE" w:rsidRDefault="00BA339A">
      <w:pPr>
        <w:spacing w:before="276" w:line="276" w:lineRule="exact"/>
        <w:ind w:left="72" w:right="72" w:firstLine="360"/>
        <w:textAlignment w:val="baseline"/>
        <w:rPr>
          <w:rFonts w:eastAsia="Times New Roman"/>
          <w:color w:val="000000"/>
          <w:sz w:val="16"/>
          <w:vertAlign w:val="superscript"/>
        </w:rPr>
      </w:pPr>
      <w:proofErr w:type="gramStart"/>
      <w:r>
        <w:rPr>
          <w:rFonts w:eastAsia="Times New Roman"/>
          <w:color w:val="000000"/>
          <w:sz w:val="16"/>
          <w:vertAlign w:val="superscript"/>
        </w:rPr>
        <w:t>22</w:t>
      </w:r>
      <w:proofErr w:type="gramEnd"/>
      <w:r>
        <w:rPr>
          <w:rFonts w:eastAsia="Times New Roman"/>
          <w:color w:val="000000"/>
          <w:sz w:val="24"/>
        </w:rPr>
        <w:t xml:space="preserve"> Max </w:t>
      </w:r>
      <w:proofErr w:type="spellStart"/>
      <w:r>
        <w:rPr>
          <w:rFonts w:eastAsia="Times New Roman"/>
          <w:color w:val="000000"/>
          <w:sz w:val="24"/>
        </w:rPr>
        <w:t>Grivno</w:t>
      </w:r>
      <w:proofErr w:type="spellEnd"/>
      <w:r>
        <w:rPr>
          <w:rFonts w:eastAsia="Times New Roman"/>
          <w:color w:val="000000"/>
          <w:sz w:val="24"/>
        </w:rPr>
        <w:t xml:space="preserve">, “’He Stabbed a Valuable Colored Man’: Commodification and Violence </w:t>
      </w:r>
      <w:r>
        <w:rPr>
          <w:rFonts w:eastAsia="Times New Roman"/>
          <w:color w:val="000000"/>
          <w:sz w:val="24"/>
        </w:rPr>
        <w:t>among Poor Whites and Slaves,” (Southern Historical Association, Baltimore, MD, October 29, 2011.</w:t>
      </w:r>
    </w:p>
    <w:p w:rsidR="00875CDE" w:rsidRDefault="00BA339A">
      <w:pPr>
        <w:spacing w:before="303" w:line="248" w:lineRule="exact"/>
        <w:ind w:left="432"/>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875CDE" w:rsidRDefault="00BA339A">
      <w:pPr>
        <w:spacing w:before="277" w:line="276" w:lineRule="exact"/>
        <w:ind w:left="792" w:right="144" w:hanging="720"/>
        <w:textAlignment w:val="baseline"/>
        <w:rPr>
          <w:rFonts w:eastAsia="Times New Roman"/>
          <w:color w:val="000000"/>
          <w:sz w:val="24"/>
        </w:rPr>
      </w:pPr>
      <w:proofErr w:type="spellStart"/>
      <w:r>
        <w:rPr>
          <w:rFonts w:eastAsia="Times New Roman"/>
          <w:color w:val="000000"/>
          <w:sz w:val="24"/>
        </w:rPr>
        <w:t>Grivno</w:t>
      </w:r>
      <w:proofErr w:type="spellEnd"/>
      <w:r>
        <w:rPr>
          <w:rFonts w:eastAsia="Times New Roman"/>
          <w:color w:val="000000"/>
          <w:sz w:val="24"/>
        </w:rPr>
        <w:t>, Max. “’He Stabbed a Valuable Colored Man’: Commodification and Violence among Poor Whites and Slaves.” Southern Historical Associa</w:t>
      </w:r>
      <w:r>
        <w:rPr>
          <w:rFonts w:eastAsia="Times New Roman"/>
          <w:color w:val="000000"/>
          <w:sz w:val="24"/>
        </w:rPr>
        <w:t>tion, Baltimore, MD, October 29, 2011.</w:t>
      </w:r>
    </w:p>
    <w:p w:rsidR="00875CDE" w:rsidRDefault="00BA339A">
      <w:pPr>
        <w:spacing w:before="278" w:line="276" w:lineRule="exact"/>
        <w:ind w:left="792" w:right="144" w:hanging="720"/>
        <w:textAlignment w:val="baseline"/>
        <w:rPr>
          <w:rFonts w:eastAsia="Times New Roman"/>
          <w:color w:val="000000"/>
          <w:sz w:val="24"/>
        </w:rPr>
      </w:pPr>
      <w:proofErr w:type="spellStart"/>
      <w:r>
        <w:rPr>
          <w:rFonts w:eastAsia="Times New Roman"/>
          <w:color w:val="000000"/>
          <w:sz w:val="24"/>
        </w:rPr>
        <w:t>Nuwer</w:t>
      </w:r>
      <w:proofErr w:type="spellEnd"/>
      <w:r>
        <w:rPr>
          <w:rFonts w:eastAsia="Times New Roman"/>
          <w:color w:val="000000"/>
          <w:sz w:val="24"/>
        </w:rPr>
        <w:t xml:space="preserve">, Deanne Stephens. “Sharing the Work: Biloxi Women in the Seafood Industry.” In </w:t>
      </w:r>
      <w:r>
        <w:rPr>
          <w:rFonts w:eastAsia="Times New Roman"/>
          <w:i/>
          <w:color w:val="000000"/>
          <w:sz w:val="24"/>
        </w:rPr>
        <w:t xml:space="preserve">Perspectives on Gender, Race, Ethnicity and Power in Maritime America: Papers from the Conference Held at Mystic Seaport, September </w:t>
      </w:r>
      <w:r>
        <w:rPr>
          <w:rFonts w:eastAsia="Times New Roman"/>
          <w:i/>
          <w:color w:val="000000"/>
          <w:sz w:val="24"/>
        </w:rPr>
        <w:t>2000</w:t>
      </w:r>
      <w:r>
        <w:rPr>
          <w:rFonts w:eastAsia="Times New Roman"/>
          <w:color w:val="000000"/>
          <w:sz w:val="24"/>
        </w:rPr>
        <w:t xml:space="preserve">, edited by Glen S. </w:t>
      </w:r>
      <w:proofErr w:type="spellStart"/>
      <w:r>
        <w:rPr>
          <w:rFonts w:eastAsia="Times New Roman"/>
          <w:color w:val="000000"/>
          <w:sz w:val="24"/>
        </w:rPr>
        <w:t>Gordinier</w:t>
      </w:r>
      <w:proofErr w:type="spellEnd"/>
      <w:r>
        <w:rPr>
          <w:rFonts w:eastAsia="Times New Roman"/>
          <w:color w:val="000000"/>
          <w:sz w:val="24"/>
        </w:rPr>
        <w:t>, 157 – 166. Mystic, CT: Mystic Seaport Museum Press, 2008.</w:t>
      </w:r>
    </w:p>
    <w:p w:rsidR="00875CDE" w:rsidRDefault="00875CDE">
      <w:pPr>
        <w:sectPr w:rsidR="00875CDE">
          <w:pgSz w:w="12240" w:h="15840"/>
          <w:pgMar w:top="1420" w:right="1514" w:bottom="874" w:left="1346" w:header="720" w:footer="720" w:gutter="0"/>
          <w:cols w:space="720"/>
        </w:sectPr>
      </w:pPr>
    </w:p>
    <w:p w:rsidR="00875CDE" w:rsidRDefault="00BA339A">
      <w:pPr>
        <w:spacing w:before="11" w:line="321" w:lineRule="exact"/>
        <w:jc w:val="center"/>
        <w:textAlignment w:val="baseline"/>
        <w:rPr>
          <w:rFonts w:eastAsia="Times New Roman"/>
          <w:b/>
          <w:color w:val="000000"/>
          <w:sz w:val="28"/>
        </w:rPr>
      </w:pPr>
      <w:r>
        <w:lastRenderedPageBreak/>
        <w:pict>
          <v:shape id="_x0000_s1027" type="#_x0000_t202" style="position:absolute;left:0;text-align:left;margin-left:298.65pt;margin-top:728.5pt;width:15.2pt;height:13.8pt;z-index:-251657216;mso-wrap-distance-left:0;mso-wrap-distance-right:0;mso-position-horizontal-relative:page;mso-position-vertical-relative:page" filled="f" stroked="f">
            <v:textbox inset="0,0,0,0">
              <w:txbxContent>
                <w:p w:rsidR="00875CDE" w:rsidRDefault="00BA339A">
                  <w:pPr>
                    <w:spacing w:before="1" w:line="261" w:lineRule="exact"/>
                    <w:textAlignment w:val="baseline"/>
                    <w:rPr>
                      <w:rFonts w:eastAsia="Times New Roman"/>
                      <w:color w:val="000000"/>
                      <w:sz w:val="24"/>
                    </w:rPr>
                  </w:pPr>
                  <w:r>
                    <w:rPr>
                      <w:rFonts w:eastAsia="Times New Roman"/>
                      <w:color w:val="000000"/>
                      <w:sz w:val="24"/>
                    </w:rPr>
                    <w:t>6</w:t>
                  </w:r>
                </w:p>
              </w:txbxContent>
            </v:textbox>
            <w10:wrap type="square" anchorx="page" anchory="page"/>
          </v:shape>
        </w:pict>
      </w:r>
      <w:r>
        <w:rPr>
          <w:rFonts w:eastAsia="Times New Roman"/>
          <w:b/>
          <w:color w:val="000000"/>
          <w:sz w:val="28"/>
        </w:rPr>
        <w:t>Government Documents</w:t>
      </w:r>
    </w:p>
    <w:p w:rsidR="00875CDE" w:rsidRDefault="00BA339A">
      <w:pPr>
        <w:spacing w:before="296" w:line="252" w:lineRule="exact"/>
        <w:ind w:left="360"/>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b/>
          <w:color w:val="000000"/>
          <w:sz w:val="24"/>
        </w:rPr>
        <w:t>In general, they should include:</w:t>
      </w:r>
    </w:p>
    <w:p w:rsidR="00875CDE" w:rsidRDefault="00BA339A">
      <w:pPr>
        <w:numPr>
          <w:ilvl w:val="0"/>
          <w:numId w:val="1"/>
        </w:numPr>
        <w:tabs>
          <w:tab w:val="clear" w:pos="360"/>
          <w:tab w:val="left" w:pos="1512"/>
        </w:tabs>
        <w:spacing w:line="272" w:lineRule="exact"/>
        <w:ind w:left="1152"/>
        <w:textAlignment w:val="baseline"/>
        <w:rPr>
          <w:rFonts w:eastAsia="Times New Roman"/>
          <w:color w:val="000000"/>
          <w:sz w:val="24"/>
        </w:rPr>
      </w:pPr>
      <w:r>
        <w:rPr>
          <w:rFonts w:eastAsia="Times New Roman"/>
          <w:color w:val="000000"/>
          <w:sz w:val="24"/>
        </w:rPr>
        <w:t>Name of the government and government body that issued the document</w:t>
      </w:r>
    </w:p>
    <w:p w:rsidR="00875CDE" w:rsidRDefault="00BA339A">
      <w:pPr>
        <w:numPr>
          <w:ilvl w:val="0"/>
          <w:numId w:val="1"/>
        </w:numPr>
        <w:tabs>
          <w:tab w:val="clear" w:pos="360"/>
          <w:tab w:val="left" w:pos="1512"/>
        </w:tabs>
        <w:spacing w:line="273" w:lineRule="exact"/>
        <w:ind w:left="1152"/>
        <w:textAlignment w:val="baseline"/>
        <w:rPr>
          <w:rFonts w:eastAsia="Times New Roman"/>
          <w:color w:val="000000"/>
          <w:spacing w:val="-1"/>
          <w:sz w:val="24"/>
        </w:rPr>
      </w:pPr>
      <w:r>
        <w:rPr>
          <w:rFonts w:eastAsia="Times New Roman"/>
          <w:color w:val="000000"/>
          <w:spacing w:val="-1"/>
          <w:sz w:val="24"/>
        </w:rPr>
        <w:t>Title of the document or collection</w:t>
      </w:r>
    </w:p>
    <w:p w:rsidR="00875CDE" w:rsidRDefault="00BA339A">
      <w:pPr>
        <w:numPr>
          <w:ilvl w:val="0"/>
          <w:numId w:val="1"/>
        </w:numPr>
        <w:tabs>
          <w:tab w:val="clear" w:pos="360"/>
          <w:tab w:val="left" w:pos="1512"/>
        </w:tabs>
        <w:spacing w:before="4" w:line="275" w:lineRule="exact"/>
        <w:ind w:left="1152"/>
        <w:textAlignment w:val="baseline"/>
        <w:rPr>
          <w:rFonts w:eastAsia="Times New Roman"/>
          <w:color w:val="000000"/>
          <w:spacing w:val="-1"/>
          <w:sz w:val="24"/>
        </w:rPr>
      </w:pPr>
      <w:r>
        <w:rPr>
          <w:rFonts w:eastAsia="Times New Roman"/>
          <w:color w:val="000000"/>
          <w:spacing w:val="-1"/>
          <w:sz w:val="24"/>
        </w:rPr>
        <w:t>Author, editor, or compiler</w:t>
      </w:r>
    </w:p>
    <w:p w:rsidR="00875CDE" w:rsidRDefault="00BA339A">
      <w:pPr>
        <w:numPr>
          <w:ilvl w:val="0"/>
          <w:numId w:val="1"/>
        </w:numPr>
        <w:tabs>
          <w:tab w:val="clear" w:pos="360"/>
          <w:tab w:val="left" w:pos="1512"/>
        </w:tabs>
        <w:spacing w:line="273" w:lineRule="exact"/>
        <w:ind w:left="1152"/>
        <w:textAlignment w:val="baseline"/>
        <w:rPr>
          <w:rFonts w:eastAsia="Times New Roman"/>
          <w:color w:val="000000"/>
          <w:sz w:val="24"/>
        </w:rPr>
      </w:pPr>
      <w:r>
        <w:rPr>
          <w:rFonts w:eastAsia="Times New Roman"/>
          <w:color w:val="000000"/>
          <w:sz w:val="24"/>
        </w:rPr>
        <w:t>Report number or other identifying information</w:t>
      </w:r>
    </w:p>
    <w:p w:rsidR="00875CDE" w:rsidRDefault="00BA339A">
      <w:pPr>
        <w:numPr>
          <w:ilvl w:val="0"/>
          <w:numId w:val="1"/>
        </w:numPr>
        <w:tabs>
          <w:tab w:val="clear" w:pos="360"/>
          <w:tab w:val="left" w:pos="1512"/>
        </w:tabs>
        <w:spacing w:before="4" w:line="275" w:lineRule="exact"/>
        <w:ind w:left="1152"/>
        <w:textAlignment w:val="baseline"/>
        <w:rPr>
          <w:rFonts w:eastAsia="Times New Roman"/>
          <w:color w:val="000000"/>
          <w:spacing w:val="-7"/>
          <w:sz w:val="24"/>
        </w:rPr>
      </w:pPr>
      <w:r>
        <w:rPr>
          <w:rFonts w:eastAsia="Times New Roman"/>
          <w:color w:val="000000"/>
          <w:spacing w:val="-7"/>
          <w:sz w:val="24"/>
        </w:rPr>
        <w:t>Date</w:t>
      </w:r>
    </w:p>
    <w:p w:rsidR="00875CDE" w:rsidRDefault="00BA339A">
      <w:pPr>
        <w:numPr>
          <w:ilvl w:val="0"/>
          <w:numId w:val="1"/>
        </w:numPr>
        <w:tabs>
          <w:tab w:val="clear" w:pos="360"/>
          <w:tab w:val="left" w:pos="1512"/>
        </w:tabs>
        <w:spacing w:line="273" w:lineRule="exact"/>
        <w:ind w:left="1152"/>
        <w:textAlignment w:val="baseline"/>
        <w:rPr>
          <w:rFonts w:eastAsia="Times New Roman"/>
          <w:color w:val="000000"/>
          <w:spacing w:val="-3"/>
          <w:sz w:val="24"/>
        </w:rPr>
      </w:pPr>
      <w:r>
        <w:rPr>
          <w:rFonts w:eastAsia="Times New Roman"/>
          <w:color w:val="000000"/>
          <w:spacing w:val="-3"/>
          <w:sz w:val="24"/>
        </w:rPr>
        <w:t>Page numbers</w:t>
      </w:r>
    </w:p>
    <w:p w:rsidR="00875CDE" w:rsidRDefault="00BA339A">
      <w:pPr>
        <w:numPr>
          <w:ilvl w:val="0"/>
          <w:numId w:val="1"/>
        </w:numPr>
        <w:tabs>
          <w:tab w:val="clear" w:pos="360"/>
          <w:tab w:val="left" w:pos="1512"/>
        </w:tabs>
        <w:spacing w:before="4" w:line="275" w:lineRule="exact"/>
        <w:ind w:left="1152"/>
        <w:textAlignment w:val="baseline"/>
        <w:rPr>
          <w:rFonts w:eastAsia="Times New Roman"/>
          <w:color w:val="000000"/>
          <w:spacing w:val="-1"/>
          <w:sz w:val="24"/>
        </w:rPr>
      </w:pPr>
      <w:r>
        <w:rPr>
          <w:rFonts w:eastAsia="Times New Roman"/>
          <w:color w:val="000000"/>
          <w:spacing w:val="-1"/>
          <w:sz w:val="24"/>
        </w:rPr>
        <w:t>URL (if accessed online)</w:t>
      </w:r>
    </w:p>
    <w:p w:rsidR="00875CDE" w:rsidRDefault="00BA339A">
      <w:pPr>
        <w:spacing w:line="273" w:lineRule="exact"/>
        <w:ind w:left="360"/>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 xml:space="preserve">Ordinals in public documents end in d, not </w:t>
      </w:r>
      <w:proofErr w:type="spellStart"/>
      <w:r>
        <w:rPr>
          <w:rFonts w:eastAsia="Times New Roman"/>
          <w:color w:val="000000"/>
          <w:sz w:val="24"/>
        </w:rPr>
        <w:t>nd</w:t>
      </w:r>
      <w:proofErr w:type="spellEnd"/>
      <w:r>
        <w:rPr>
          <w:rFonts w:eastAsia="Times New Roman"/>
          <w:color w:val="000000"/>
          <w:sz w:val="24"/>
        </w:rPr>
        <w:t xml:space="preserve"> – as 2d</w:t>
      </w:r>
    </w:p>
    <w:p w:rsidR="00875CDE" w:rsidRDefault="00BA339A">
      <w:pPr>
        <w:spacing w:before="285" w:line="321" w:lineRule="exact"/>
        <w:textAlignment w:val="baseline"/>
        <w:rPr>
          <w:rFonts w:eastAsia="Times New Roman"/>
          <w:b/>
          <w:color w:val="000000"/>
          <w:sz w:val="28"/>
        </w:rPr>
      </w:pPr>
      <w:r>
        <w:rPr>
          <w:rFonts w:eastAsia="Times New Roman"/>
          <w:b/>
          <w:color w:val="000000"/>
          <w:sz w:val="28"/>
        </w:rPr>
        <w:t>Published Government Documents</w:t>
      </w:r>
    </w:p>
    <w:p w:rsidR="00875CDE" w:rsidRDefault="00BA339A">
      <w:pPr>
        <w:spacing w:before="270" w:line="275" w:lineRule="exact"/>
        <w:ind w:left="720" w:right="72" w:hanging="360"/>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Vary greatly in format – when in doubt, check a style guide or with your professor or the HL</w:t>
      </w:r>
    </w:p>
    <w:p w:rsidR="00875CDE" w:rsidRDefault="00BA339A">
      <w:pPr>
        <w:spacing w:before="655" w:line="321" w:lineRule="exact"/>
        <w:jc w:val="center"/>
        <w:textAlignment w:val="baseline"/>
        <w:rPr>
          <w:rFonts w:eastAsia="Times New Roman"/>
          <w:b/>
          <w:color w:val="000000"/>
          <w:sz w:val="28"/>
        </w:rPr>
      </w:pPr>
      <w:r>
        <w:rPr>
          <w:rFonts w:eastAsia="Times New Roman"/>
          <w:b/>
          <w:color w:val="000000"/>
          <w:sz w:val="28"/>
        </w:rPr>
        <w:t>Audio-Visual Sources</w:t>
      </w:r>
    </w:p>
    <w:p w:rsidR="00875CDE" w:rsidRDefault="00BA339A">
      <w:pPr>
        <w:spacing w:before="322" w:line="321" w:lineRule="exact"/>
        <w:textAlignment w:val="baseline"/>
        <w:rPr>
          <w:rFonts w:eastAsia="Times New Roman"/>
          <w:b/>
          <w:color w:val="000000"/>
          <w:spacing w:val="21"/>
          <w:sz w:val="28"/>
        </w:rPr>
      </w:pPr>
      <w:r>
        <w:rPr>
          <w:rFonts w:eastAsia="Times New Roman"/>
          <w:b/>
          <w:color w:val="000000"/>
          <w:spacing w:val="21"/>
          <w:sz w:val="28"/>
        </w:rPr>
        <w:t>Film</w:t>
      </w:r>
    </w:p>
    <w:p w:rsidR="00875CDE" w:rsidRDefault="00BA339A">
      <w:pPr>
        <w:spacing w:before="296" w:line="256" w:lineRule="exact"/>
        <w:ind w:left="360"/>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875CDE" w:rsidRDefault="00BA339A">
      <w:pPr>
        <w:spacing w:before="271" w:line="275" w:lineRule="exact"/>
        <w:jc w:val="center"/>
        <w:textAlignment w:val="baseline"/>
        <w:rPr>
          <w:rFonts w:eastAsia="Times New Roman"/>
          <w:color w:val="000000"/>
          <w:sz w:val="16"/>
          <w:vertAlign w:val="superscript"/>
        </w:rPr>
      </w:pPr>
      <w:r>
        <w:rPr>
          <w:rFonts w:eastAsia="Times New Roman"/>
          <w:color w:val="000000"/>
          <w:sz w:val="16"/>
          <w:vertAlign w:val="superscript"/>
        </w:rPr>
        <w:t>1</w:t>
      </w:r>
      <w:r>
        <w:rPr>
          <w:rFonts w:eastAsia="Times New Roman"/>
          <w:i/>
          <w:color w:val="000000"/>
          <w:sz w:val="24"/>
        </w:rPr>
        <w:t xml:space="preserve"> A Midwife’s Tale</w:t>
      </w:r>
      <w:r>
        <w:rPr>
          <w:rFonts w:eastAsia="Times New Roman"/>
          <w:color w:val="000000"/>
          <w:sz w:val="24"/>
        </w:rPr>
        <w:t>, directed by Richard P. Rogers (Blueberry Hill Productions, 1998),</w:t>
      </w:r>
    </w:p>
    <w:p w:rsidR="00875CDE" w:rsidRDefault="00BA339A">
      <w:pPr>
        <w:spacing w:line="273" w:lineRule="exact"/>
        <w:textAlignment w:val="baseline"/>
        <w:rPr>
          <w:rFonts w:eastAsia="Times New Roman"/>
          <w:color w:val="000000"/>
          <w:spacing w:val="17"/>
          <w:sz w:val="24"/>
        </w:rPr>
      </w:pPr>
      <w:r>
        <w:rPr>
          <w:rFonts w:eastAsia="Times New Roman"/>
          <w:color w:val="000000"/>
          <w:spacing w:val="17"/>
          <w:sz w:val="24"/>
        </w:rPr>
        <w:t>DVD.</w:t>
      </w:r>
    </w:p>
    <w:p w:rsidR="00875CDE" w:rsidRDefault="00BA339A">
      <w:pPr>
        <w:spacing w:before="275" w:line="275" w:lineRule="exact"/>
        <w:jc w:val="center"/>
        <w:textAlignment w:val="baseline"/>
        <w:rPr>
          <w:rFonts w:eastAsia="Times New Roman"/>
          <w:i/>
          <w:color w:val="000000"/>
          <w:sz w:val="16"/>
        </w:rPr>
      </w:pPr>
      <w:r>
        <w:rPr>
          <w:rFonts w:eastAsia="Times New Roman"/>
          <w:i/>
          <w:color w:val="000000"/>
          <w:sz w:val="16"/>
        </w:rPr>
        <w:t xml:space="preserve">2 </w:t>
      </w:r>
      <w:r>
        <w:rPr>
          <w:rFonts w:eastAsia="Times New Roman"/>
          <w:i/>
          <w:color w:val="000000"/>
          <w:sz w:val="24"/>
        </w:rPr>
        <w:t>The Civil War</w:t>
      </w:r>
      <w:r>
        <w:rPr>
          <w:rFonts w:eastAsia="Times New Roman"/>
          <w:color w:val="000000"/>
          <w:sz w:val="24"/>
        </w:rPr>
        <w:t>, directed by Ken Burns (American Documentaries Inc., 1990), DVD.</w:t>
      </w:r>
    </w:p>
    <w:p w:rsidR="00875CDE" w:rsidRDefault="00BA339A">
      <w:pPr>
        <w:spacing w:before="281" w:line="275" w:lineRule="exact"/>
        <w:ind w:firstLine="720"/>
        <w:textAlignment w:val="baseline"/>
        <w:rPr>
          <w:rFonts w:eastAsia="Times New Roman"/>
          <w:color w:val="000000"/>
          <w:sz w:val="16"/>
          <w:vertAlign w:val="superscript"/>
        </w:rPr>
      </w:pPr>
      <w:r>
        <w:rPr>
          <w:rFonts w:eastAsia="Times New Roman"/>
          <w:color w:val="000000"/>
          <w:sz w:val="16"/>
          <w:vertAlign w:val="superscript"/>
        </w:rPr>
        <w:t>3</w:t>
      </w:r>
      <w:r>
        <w:rPr>
          <w:rFonts w:eastAsia="Times New Roman"/>
          <w:color w:val="000000"/>
          <w:sz w:val="24"/>
        </w:rPr>
        <w:t xml:space="preserve"> “</w:t>
      </w:r>
      <w:proofErr w:type="spellStart"/>
      <w:r>
        <w:rPr>
          <w:rFonts w:eastAsia="Times New Roman"/>
          <w:color w:val="000000"/>
          <w:sz w:val="24"/>
        </w:rPr>
        <w:t>Ain’t</w:t>
      </w:r>
      <w:proofErr w:type="spellEnd"/>
      <w:r>
        <w:rPr>
          <w:rFonts w:eastAsia="Times New Roman"/>
          <w:color w:val="000000"/>
          <w:sz w:val="24"/>
        </w:rPr>
        <w:t xml:space="preserve"> Scared of Your Jails: 1960 – 1961,” </w:t>
      </w:r>
      <w:r>
        <w:rPr>
          <w:rFonts w:eastAsia="Times New Roman"/>
          <w:i/>
          <w:color w:val="000000"/>
          <w:sz w:val="24"/>
        </w:rPr>
        <w:t>Eyes on the Prize: America’s Civil Rights Years</w:t>
      </w:r>
      <w:r>
        <w:rPr>
          <w:rFonts w:eastAsia="Times New Roman"/>
          <w:color w:val="000000"/>
          <w:sz w:val="24"/>
        </w:rPr>
        <w:t xml:space="preserve">, directed by Orlando Bagwell, Callie Crossley, and James A. </w:t>
      </w:r>
      <w:proofErr w:type="spellStart"/>
      <w:r>
        <w:rPr>
          <w:rFonts w:eastAsia="Times New Roman"/>
          <w:color w:val="000000"/>
          <w:sz w:val="24"/>
        </w:rPr>
        <w:t>DeVinney</w:t>
      </w:r>
      <w:proofErr w:type="spellEnd"/>
      <w:r>
        <w:rPr>
          <w:rFonts w:eastAsia="Times New Roman"/>
          <w:color w:val="000000"/>
          <w:sz w:val="24"/>
        </w:rPr>
        <w:t xml:space="preserve"> (</w:t>
      </w:r>
      <w:proofErr w:type="spellStart"/>
      <w:r>
        <w:rPr>
          <w:rFonts w:eastAsia="Times New Roman"/>
          <w:color w:val="000000"/>
          <w:sz w:val="24"/>
        </w:rPr>
        <w:t>Blackside</w:t>
      </w:r>
      <w:proofErr w:type="spellEnd"/>
      <w:r>
        <w:rPr>
          <w:rFonts w:eastAsia="Times New Roman"/>
          <w:color w:val="000000"/>
          <w:sz w:val="24"/>
        </w:rPr>
        <w:t>, 1987), videocassette.</w:t>
      </w:r>
    </w:p>
    <w:p w:rsidR="00875CDE" w:rsidRDefault="00BA339A">
      <w:pPr>
        <w:spacing w:before="302" w:line="256" w:lineRule="exact"/>
        <w:ind w:left="360"/>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875CDE" w:rsidRDefault="00BA339A">
      <w:pPr>
        <w:spacing w:before="23" w:line="250" w:lineRule="exact"/>
        <w:ind w:left="360"/>
        <w:textAlignment w:val="baseline"/>
        <w:rPr>
          <w:rFonts w:ascii="Lucida Console" w:eastAsia="Lucida Console" w:hAnsi="Lucida Console"/>
          <w:color w:val="000000"/>
          <w:spacing w:val="1"/>
          <w:sz w:val="24"/>
        </w:rPr>
      </w:pPr>
      <w:proofErr w:type="gramStart"/>
      <w:r>
        <w:rPr>
          <w:rFonts w:ascii="Lucida Console" w:eastAsia="Lucida Console" w:hAnsi="Lucida Console"/>
          <w:color w:val="000000"/>
          <w:spacing w:val="1"/>
          <w:sz w:val="24"/>
        </w:rPr>
        <w:t xml:space="preserve">* </w:t>
      </w:r>
      <w:r>
        <w:rPr>
          <w:rFonts w:eastAsia="Times New Roman"/>
          <w:color w:val="000000"/>
          <w:spacing w:val="1"/>
          <w:sz w:val="24"/>
        </w:rPr>
        <w:t>Can be done</w:t>
      </w:r>
      <w:proofErr w:type="gramEnd"/>
      <w:r>
        <w:rPr>
          <w:rFonts w:eastAsia="Times New Roman"/>
          <w:color w:val="000000"/>
          <w:spacing w:val="1"/>
          <w:sz w:val="24"/>
        </w:rPr>
        <w:t xml:space="preserve"> two ways</w:t>
      </w:r>
    </w:p>
    <w:p w:rsidR="00875CDE" w:rsidRDefault="00BA339A">
      <w:pPr>
        <w:numPr>
          <w:ilvl w:val="0"/>
          <w:numId w:val="1"/>
        </w:numPr>
        <w:tabs>
          <w:tab w:val="clear" w:pos="360"/>
          <w:tab w:val="left" w:pos="1512"/>
        </w:tabs>
        <w:spacing w:line="273" w:lineRule="exact"/>
        <w:ind w:left="1152"/>
        <w:textAlignment w:val="baseline"/>
        <w:rPr>
          <w:rFonts w:eastAsia="Times New Roman"/>
          <w:color w:val="000000"/>
          <w:spacing w:val="-2"/>
          <w:sz w:val="24"/>
        </w:rPr>
      </w:pPr>
      <w:r>
        <w:rPr>
          <w:rFonts w:eastAsia="Times New Roman"/>
          <w:color w:val="000000"/>
          <w:spacing w:val="-2"/>
          <w:sz w:val="24"/>
        </w:rPr>
        <w:t>Title first</w:t>
      </w:r>
    </w:p>
    <w:p w:rsidR="00875CDE" w:rsidRDefault="00BA339A">
      <w:pPr>
        <w:spacing w:before="279" w:line="275" w:lineRule="exact"/>
        <w:ind w:left="720" w:hanging="720"/>
        <w:textAlignment w:val="baseline"/>
        <w:rPr>
          <w:rFonts w:eastAsia="Times New Roman"/>
          <w:color w:val="000000"/>
          <w:sz w:val="24"/>
        </w:rPr>
      </w:pPr>
      <w:r>
        <w:rPr>
          <w:rFonts w:eastAsia="Times New Roman"/>
          <w:color w:val="000000"/>
          <w:sz w:val="24"/>
        </w:rPr>
        <w:t>“</w:t>
      </w:r>
      <w:proofErr w:type="spellStart"/>
      <w:r>
        <w:rPr>
          <w:rFonts w:eastAsia="Times New Roman"/>
          <w:color w:val="000000"/>
          <w:sz w:val="24"/>
        </w:rPr>
        <w:t>Ain’t</w:t>
      </w:r>
      <w:proofErr w:type="spellEnd"/>
      <w:r>
        <w:rPr>
          <w:rFonts w:eastAsia="Times New Roman"/>
          <w:color w:val="000000"/>
          <w:sz w:val="24"/>
        </w:rPr>
        <w:t xml:space="preserve"> Scared of Your Jails: 1960 – 1961.” </w:t>
      </w:r>
      <w:r>
        <w:rPr>
          <w:rFonts w:eastAsia="Times New Roman"/>
          <w:i/>
          <w:color w:val="000000"/>
          <w:sz w:val="24"/>
        </w:rPr>
        <w:t>Eyes on the Prize: America’s Civil Rights Years</w:t>
      </w:r>
      <w:r>
        <w:rPr>
          <w:rFonts w:eastAsia="Times New Roman"/>
          <w:color w:val="000000"/>
          <w:sz w:val="24"/>
        </w:rPr>
        <w:t xml:space="preserve">. Directed by Orlando Bagwell, Callie Crossley, and James A. </w:t>
      </w:r>
      <w:proofErr w:type="spellStart"/>
      <w:r>
        <w:rPr>
          <w:rFonts w:eastAsia="Times New Roman"/>
          <w:color w:val="000000"/>
          <w:sz w:val="24"/>
        </w:rPr>
        <w:t>DeVinney</w:t>
      </w:r>
      <w:proofErr w:type="spellEnd"/>
      <w:r>
        <w:rPr>
          <w:rFonts w:eastAsia="Times New Roman"/>
          <w:color w:val="000000"/>
          <w:sz w:val="24"/>
        </w:rPr>
        <w:t xml:space="preserve">. </w:t>
      </w:r>
      <w:proofErr w:type="spellStart"/>
      <w:r>
        <w:rPr>
          <w:rFonts w:eastAsia="Times New Roman"/>
          <w:color w:val="000000"/>
          <w:sz w:val="24"/>
        </w:rPr>
        <w:t>Blackside</w:t>
      </w:r>
      <w:proofErr w:type="spellEnd"/>
      <w:r>
        <w:rPr>
          <w:rFonts w:eastAsia="Times New Roman"/>
          <w:color w:val="000000"/>
          <w:sz w:val="24"/>
        </w:rPr>
        <w:t>, 1987. Videocassette.</w:t>
      </w:r>
    </w:p>
    <w:p w:rsidR="00875CDE" w:rsidRDefault="00BA339A">
      <w:pPr>
        <w:spacing w:before="277" w:line="275" w:lineRule="exact"/>
        <w:textAlignment w:val="baseline"/>
        <w:rPr>
          <w:rFonts w:eastAsia="Times New Roman"/>
          <w:i/>
          <w:color w:val="000000"/>
          <w:sz w:val="24"/>
        </w:rPr>
      </w:pPr>
      <w:r>
        <w:rPr>
          <w:rFonts w:eastAsia="Times New Roman"/>
          <w:i/>
          <w:color w:val="000000"/>
          <w:sz w:val="24"/>
        </w:rPr>
        <w:t>The Civil War</w:t>
      </w:r>
      <w:r>
        <w:rPr>
          <w:rFonts w:eastAsia="Times New Roman"/>
          <w:color w:val="000000"/>
          <w:sz w:val="24"/>
        </w:rPr>
        <w:t>. Directed by Ken Burns. American Documentaries Inc., 1990. DVD.</w:t>
      </w:r>
    </w:p>
    <w:p w:rsidR="00875CDE" w:rsidRDefault="00BA339A">
      <w:pPr>
        <w:spacing w:before="279" w:line="275" w:lineRule="exact"/>
        <w:textAlignment w:val="baseline"/>
        <w:rPr>
          <w:rFonts w:eastAsia="Times New Roman"/>
          <w:i/>
          <w:color w:val="000000"/>
          <w:sz w:val="24"/>
        </w:rPr>
      </w:pPr>
      <w:r>
        <w:rPr>
          <w:rFonts w:eastAsia="Times New Roman"/>
          <w:i/>
          <w:color w:val="000000"/>
          <w:sz w:val="24"/>
        </w:rPr>
        <w:t>A Midwife’s Tale</w:t>
      </w:r>
      <w:r>
        <w:rPr>
          <w:rFonts w:eastAsia="Times New Roman"/>
          <w:color w:val="000000"/>
          <w:sz w:val="24"/>
        </w:rPr>
        <w:t>. Directed by Richard P. Rogers. Blueberry Hill Productions</w:t>
      </w:r>
      <w:r>
        <w:rPr>
          <w:rFonts w:eastAsia="Times New Roman"/>
          <w:color w:val="000000"/>
          <w:sz w:val="24"/>
        </w:rPr>
        <w:t>, 1998. DVD.</w:t>
      </w:r>
    </w:p>
    <w:p w:rsidR="00875CDE" w:rsidRDefault="00875CDE">
      <w:pPr>
        <w:sectPr w:rsidR="00875CDE">
          <w:pgSz w:w="12240" w:h="15840"/>
          <w:pgMar w:top="1440" w:right="1461" w:bottom="874" w:left="1399" w:header="720" w:footer="720" w:gutter="0"/>
          <w:cols w:space="720"/>
        </w:sectPr>
      </w:pPr>
    </w:p>
    <w:p w:rsidR="00875CDE" w:rsidRDefault="00BA339A">
      <w:pPr>
        <w:spacing w:line="278" w:lineRule="exact"/>
        <w:ind w:left="1224"/>
        <w:textAlignment w:val="baseline"/>
        <w:rPr>
          <w:rFonts w:ascii="Arial" w:eastAsia="Arial" w:hAnsi="Arial"/>
          <w:color w:val="000000"/>
          <w:spacing w:val="7"/>
          <w:sz w:val="21"/>
        </w:rPr>
      </w:pPr>
      <w:r>
        <w:lastRenderedPageBreak/>
        <w:pict>
          <v:shape id="_x0000_s1026" type="#_x0000_t202" style="position:absolute;left:0;text-align:left;margin-left:298.4pt;margin-top:728.5pt;width:15.2pt;height:13.6pt;z-index:-251656192;mso-wrap-distance-left:0;mso-wrap-distance-right:0;mso-position-horizontal-relative:page;mso-position-vertical-relative:page" filled="f" stroked="f">
            <v:textbox inset="0,0,0,0">
              <w:txbxContent>
                <w:p w:rsidR="00875CDE" w:rsidRDefault="00BA339A">
                  <w:pPr>
                    <w:spacing w:before="3" w:line="259" w:lineRule="exact"/>
                    <w:textAlignment w:val="baseline"/>
                    <w:rPr>
                      <w:rFonts w:eastAsia="Times New Roman"/>
                      <w:color w:val="000000"/>
                      <w:sz w:val="24"/>
                    </w:rPr>
                  </w:pPr>
                  <w:r>
                    <w:rPr>
                      <w:rFonts w:eastAsia="Times New Roman"/>
                      <w:color w:val="000000"/>
                      <w:sz w:val="24"/>
                    </w:rPr>
                    <w:t>7</w:t>
                  </w:r>
                </w:p>
              </w:txbxContent>
            </v:textbox>
            <w10:wrap type="square" anchorx="page" anchory="page"/>
          </v:shape>
        </w:pict>
      </w:r>
      <w:proofErr w:type="gramStart"/>
      <w:r>
        <w:rPr>
          <w:rFonts w:ascii="Arial" w:eastAsia="Arial" w:hAnsi="Arial"/>
          <w:color w:val="000000"/>
          <w:spacing w:val="7"/>
          <w:sz w:val="21"/>
        </w:rPr>
        <w:t>o</w:t>
      </w:r>
      <w:proofErr w:type="gramEnd"/>
      <w:r>
        <w:rPr>
          <w:rFonts w:ascii="Arial" w:eastAsia="Arial" w:hAnsi="Arial"/>
          <w:color w:val="000000"/>
          <w:spacing w:val="7"/>
          <w:sz w:val="21"/>
        </w:rPr>
        <w:t xml:space="preserve"> </w:t>
      </w:r>
      <w:r>
        <w:rPr>
          <w:rFonts w:eastAsia="Times New Roman"/>
          <w:color w:val="000000"/>
          <w:spacing w:val="7"/>
          <w:sz w:val="24"/>
        </w:rPr>
        <w:t>Director’s name first</w:t>
      </w:r>
    </w:p>
    <w:p w:rsidR="00875CDE" w:rsidRDefault="00BA339A">
      <w:pPr>
        <w:spacing w:before="272" w:line="276" w:lineRule="exact"/>
        <w:ind w:left="864" w:right="216" w:hanging="720"/>
        <w:textAlignment w:val="baseline"/>
        <w:rPr>
          <w:rFonts w:eastAsia="Times New Roman"/>
          <w:color w:val="000000"/>
          <w:sz w:val="24"/>
        </w:rPr>
      </w:pPr>
      <w:r>
        <w:rPr>
          <w:rFonts w:eastAsia="Times New Roman"/>
          <w:color w:val="000000"/>
          <w:sz w:val="24"/>
        </w:rPr>
        <w:t xml:space="preserve">Bagwell, Orlando, Callie Crossley, and James A. </w:t>
      </w:r>
      <w:proofErr w:type="spellStart"/>
      <w:r>
        <w:rPr>
          <w:rFonts w:eastAsia="Times New Roman"/>
          <w:color w:val="000000"/>
          <w:sz w:val="24"/>
        </w:rPr>
        <w:t>DeVinney</w:t>
      </w:r>
      <w:proofErr w:type="spellEnd"/>
      <w:r>
        <w:rPr>
          <w:rFonts w:eastAsia="Times New Roman"/>
          <w:color w:val="000000"/>
          <w:sz w:val="24"/>
        </w:rPr>
        <w:t>, dirs. “</w:t>
      </w:r>
      <w:proofErr w:type="spellStart"/>
      <w:r>
        <w:rPr>
          <w:rFonts w:eastAsia="Times New Roman"/>
          <w:color w:val="000000"/>
          <w:sz w:val="24"/>
        </w:rPr>
        <w:t>Ain’t</w:t>
      </w:r>
      <w:proofErr w:type="spellEnd"/>
      <w:r>
        <w:rPr>
          <w:rFonts w:eastAsia="Times New Roman"/>
          <w:color w:val="000000"/>
          <w:sz w:val="24"/>
        </w:rPr>
        <w:t xml:space="preserve"> Scared of Your Jails: 1960 – 1961.” </w:t>
      </w:r>
      <w:r>
        <w:rPr>
          <w:rFonts w:eastAsia="Times New Roman"/>
          <w:i/>
          <w:color w:val="000000"/>
          <w:sz w:val="24"/>
        </w:rPr>
        <w:t>Eyes on the Prize: America’s Civil Rights Years</w:t>
      </w:r>
      <w:r>
        <w:rPr>
          <w:rFonts w:eastAsia="Times New Roman"/>
          <w:color w:val="000000"/>
          <w:sz w:val="24"/>
        </w:rPr>
        <w:t xml:space="preserve">. </w:t>
      </w:r>
      <w:proofErr w:type="spellStart"/>
      <w:r>
        <w:rPr>
          <w:rFonts w:eastAsia="Times New Roman"/>
          <w:color w:val="000000"/>
          <w:sz w:val="24"/>
        </w:rPr>
        <w:t>Blackside</w:t>
      </w:r>
      <w:proofErr w:type="spellEnd"/>
      <w:r>
        <w:rPr>
          <w:rFonts w:eastAsia="Times New Roman"/>
          <w:color w:val="000000"/>
          <w:sz w:val="24"/>
        </w:rPr>
        <w:t>, 1987. Videocassette.</w:t>
      </w:r>
    </w:p>
    <w:p w:rsidR="00875CDE" w:rsidRDefault="00BA339A">
      <w:pPr>
        <w:spacing w:before="283" w:line="273" w:lineRule="exact"/>
        <w:ind w:left="144"/>
        <w:textAlignment w:val="baseline"/>
        <w:rPr>
          <w:rFonts w:eastAsia="Times New Roman"/>
          <w:color w:val="000000"/>
          <w:sz w:val="24"/>
        </w:rPr>
      </w:pPr>
      <w:r>
        <w:rPr>
          <w:rFonts w:eastAsia="Times New Roman"/>
          <w:color w:val="000000"/>
          <w:sz w:val="24"/>
        </w:rPr>
        <w:t xml:space="preserve">Burns, Ken, dir. </w:t>
      </w:r>
      <w:r>
        <w:rPr>
          <w:rFonts w:eastAsia="Times New Roman"/>
          <w:i/>
          <w:color w:val="000000"/>
          <w:sz w:val="24"/>
        </w:rPr>
        <w:t>The Civil War</w:t>
      </w:r>
      <w:r>
        <w:rPr>
          <w:rFonts w:eastAsia="Times New Roman"/>
          <w:color w:val="000000"/>
          <w:sz w:val="24"/>
        </w:rPr>
        <w:t>. American Documentaries Inc., 1990. DVD.</w:t>
      </w:r>
    </w:p>
    <w:p w:rsidR="00875CDE" w:rsidRDefault="00BA339A">
      <w:pPr>
        <w:spacing w:line="551" w:lineRule="exact"/>
        <w:ind w:left="504" w:right="1224" w:hanging="360"/>
        <w:jc w:val="both"/>
        <w:textAlignment w:val="baseline"/>
        <w:rPr>
          <w:rFonts w:eastAsia="Times New Roman"/>
          <w:color w:val="000000"/>
          <w:sz w:val="24"/>
        </w:rPr>
      </w:pPr>
      <w:r>
        <w:rPr>
          <w:rFonts w:eastAsia="Times New Roman"/>
          <w:color w:val="000000"/>
          <w:sz w:val="24"/>
        </w:rPr>
        <w:t xml:space="preserve">Rogers, Richard P., dir. </w:t>
      </w:r>
      <w:r>
        <w:rPr>
          <w:rFonts w:eastAsia="Times New Roman"/>
          <w:i/>
          <w:color w:val="000000"/>
          <w:sz w:val="24"/>
        </w:rPr>
        <w:t>A Midwife’s Tale</w:t>
      </w:r>
      <w:r>
        <w:rPr>
          <w:rFonts w:eastAsia="Times New Roman"/>
          <w:color w:val="000000"/>
          <w:sz w:val="24"/>
        </w:rPr>
        <w:t xml:space="preserve">. Blueberry Hill Productions, 1998. DVD. </w:t>
      </w:r>
      <w:r>
        <w:rPr>
          <w:rFonts w:ascii="Lucida Console" w:eastAsia="Lucida Console" w:hAnsi="Lucida Console"/>
          <w:color w:val="000000"/>
          <w:sz w:val="24"/>
        </w:rPr>
        <w:t xml:space="preserve">* </w:t>
      </w:r>
      <w:proofErr w:type="gramStart"/>
      <w:r>
        <w:rPr>
          <w:rFonts w:eastAsia="Times New Roman"/>
          <w:color w:val="000000"/>
          <w:sz w:val="24"/>
        </w:rPr>
        <w:t>Be</w:t>
      </w:r>
      <w:proofErr w:type="gramEnd"/>
      <w:r>
        <w:rPr>
          <w:rFonts w:eastAsia="Times New Roman"/>
          <w:color w:val="000000"/>
          <w:sz w:val="24"/>
        </w:rPr>
        <w:t xml:space="preserve"> sure to maintain consistency.</w:t>
      </w:r>
    </w:p>
    <w:p w:rsidR="00875CDE" w:rsidRDefault="00BA339A">
      <w:pPr>
        <w:spacing w:before="561" w:line="321" w:lineRule="exact"/>
        <w:ind w:left="144"/>
        <w:textAlignment w:val="baseline"/>
        <w:rPr>
          <w:rFonts w:eastAsia="Times New Roman"/>
          <w:b/>
          <w:color w:val="000000"/>
          <w:sz w:val="28"/>
        </w:rPr>
      </w:pPr>
      <w:r>
        <w:rPr>
          <w:rFonts w:eastAsia="Times New Roman"/>
          <w:b/>
          <w:color w:val="000000"/>
          <w:sz w:val="28"/>
        </w:rPr>
        <w:t>Art, Photographs, Cartoons, etc.</w:t>
      </w:r>
    </w:p>
    <w:p w:rsidR="00875CDE" w:rsidRDefault="00BA339A">
      <w:pPr>
        <w:spacing w:line="549" w:lineRule="exact"/>
        <w:ind w:left="504" w:right="3744"/>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 xml:space="preserve">Are not usually included in formal bibliographies </w:t>
      </w:r>
      <w:r>
        <w:rPr>
          <w:rFonts w:ascii="Lucida Console" w:eastAsia="Lucida Console" w:hAnsi="Lucida Console"/>
          <w:color w:val="000000"/>
          <w:sz w:val="24"/>
        </w:rPr>
        <w:t xml:space="preserve">* </w:t>
      </w:r>
      <w:r>
        <w:rPr>
          <w:rFonts w:eastAsia="Times New Roman"/>
          <w:color w:val="000000"/>
          <w:sz w:val="24"/>
          <w:u w:val="single"/>
        </w:rPr>
        <w:t>Footnote/Endnote Form</w:t>
      </w:r>
    </w:p>
    <w:p w:rsidR="00875CDE" w:rsidRDefault="00BA339A">
      <w:pPr>
        <w:spacing w:before="269" w:line="276" w:lineRule="exact"/>
        <w:ind w:left="144" w:right="1224" w:firstLine="720"/>
        <w:jc w:val="both"/>
        <w:textAlignment w:val="baseline"/>
        <w:rPr>
          <w:rFonts w:eastAsia="Times New Roman"/>
          <w:color w:val="000000"/>
          <w:sz w:val="16"/>
        </w:rPr>
      </w:pPr>
      <w:r>
        <w:rPr>
          <w:rFonts w:eastAsia="Times New Roman"/>
          <w:color w:val="000000"/>
          <w:sz w:val="16"/>
        </w:rPr>
        <w:t xml:space="preserve">65 </w:t>
      </w:r>
      <w:r>
        <w:rPr>
          <w:rFonts w:eastAsia="Times New Roman"/>
          <w:i/>
          <w:color w:val="000000"/>
          <w:sz w:val="24"/>
        </w:rPr>
        <w:t>The Old Plantation</w:t>
      </w:r>
      <w:r>
        <w:rPr>
          <w:rFonts w:eastAsia="Times New Roman"/>
          <w:color w:val="000000"/>
          <w:sz w:val="24"/>
        </w:rPr>
        <w:t>, ca. 1800, Abby Aldrich Rockefeller Folk Art Center, Williamsburg, VA.</w:t>
      </w:r>
    </w:p>
    <w:p w:rsidR="00875CDE" w:rsidRDefault="00BA339A">
      <w:pPr>
        <w:spacing w:before="277" w:line="277" w:lineRule="exact"/>
        <w:ind w:left="144" w:right="144" w:firstLine="720"/>
        <w:textAlignment w:val="baseline"/>
        <w:rPr>
          <w:rFonts w:eastAsia="Times New Roman"/>
          <w:color w:val="000000"/>
          <w:sz w:val="16"/>
          <w:vertAlign w:val="superscript"/>
        </w:rPr>
      </w:pPr>
      <w:r>
        <w:rPr>
          <w:rFonts w:eastAsia="Times New Roman"/>
          <w:color w:val="000000"/>
          <w:sz w:val="16"/>
          <w:vertAlign w:val="superscript"/>
        </w:rPr>
        <w:t>66</w:t>
      </w:r>
      <w:r>
        <w:rPr>
          <w:rFonts w:eastAsia="Times New Roman"/>
          <w:color w:val="000000"/>
          <w:sz w:val="24"/>
        </w:rPr>
        <w:t xml:space="preserve"> Matthew Somerville Morgan, “The Red Flag in New York – </w:t>
      </w:r>
      <w:r>
        <w:rPr>
          <w:rFonts w:eastAsia="Times New Roman"/>
          <w:color w:val="000000"/>
          <w:sz w:val="24"/>
        </w:rPr>
        <w:t>Riotous Communist Workingmen Driven from Tompkins Square by Mounted Police, Tuesday January 13</w:t>
      </w:r>
      <w:r>
        <w:rPr>
          <w:rFonts w:eastAsia="Times New Roman"/>
          <w:color w:val="000000"/>
          <w:sz w:val="24"/>
          <w:vertAlign w:val="superscript"/>
        </w:rPr>
        <w:t>th</w:t>
      </w:r>
      <w:r>
        <w:rPr>
          <w:rFonts w:eastAsia="Times New Roman"/>
          <w:color w:val="000000"/>
          <w:sz w:val="24"/>
        </w:rPr>
        <w:t xml:space="preserve">, 1874,” </w:t>
      </w:r>
      <w:r>
        <w:rPr>
          <w:rFonts w:eastAsia="Times New Roman"/>
          <w:i/>
          <w:color w:val="000000"/>
          <w:sz w:val="24"/>
        </w:rPr>
        <w:t>Frank Leslie’s Illustrated Newspaper</w:t>
      </w:r>
      <w:r>
        <w:rPr>
          <w:rFonts w:eastAsia="Times New Roman"/>
          <w:color w:val="000000"/>
          <w:sz w:val="24"/>
        </w:rPr>
        <w:t>, January 31, 1874.</w:t>
      </w:r>
    </w:p>
    <w:sectPr w:rsidR="00875CDE">
      <w:pgSz w:w="12240" w:h="15840"/>
      <w:pgMar w:top="1440" w:right="1567" w:bottom="874" w:left="12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Lucida Console">
    <w:charset w:val="00"/>
    <w:pitch w:val="fixed"/>
    <w:family w:val="auto"/>
    <w:panose1 w:val="02020603050405020304"/>
  </w:font>
  <w:font w:name="Arial">
    <w:charset w:val="00"/>
    <w:pitch w:val="variable"/>
    <w:family w:val="swiss"/>
    <w:panose1 w:val="02020603050405020304"/>
  </w:font>
  <w:font w:name="Courier New">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E5663"/>
    <w:multiLevelType w:val="multilevel"/>
    <w:tmpl w:val="DA14EDC4"/>
    <w:lvl w:ilvl="0">
      <w:start w:val="1"/>
      <w:numFmt w:val="bullet"/>
      <w:lvlText w:val="o"/>
      <w:lvlJc w:val="left"/>
      <w:pPr>
        <w:tabs>
          <w:tab w:val="left" w:pos="360"/>
        </w:tabs>
        <w:ind w:left="720"/>
      </w:pPr>
      <w:rPr>
        <w:rFonts w:ascii="Courier New" w:eastAsia="Courier New" w:hAnsi="Courier New"/>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875CDE"/>
    <w:rsid w:val="00875CDE"/>
    <w:rsid w:val="00BA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7930836"/>
  <w15:docId w15:val="{5AA0C9CE-40B3-4C94-AFA7-B7B6C188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mailto:historylab@usm.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1507</Words>
  <Characters>8596</Characters>
  <Application>Microsoft Office Word</Application>
  <DocSecurity>0</DocSecurity>
  <Lines>71</Lines>
  <Paragraphs>20</Paragraphs>
  <ScaleCrop>false</ScaleCrop>
  <Company>The University of Southern Mississippi</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Daniella Kawa</cp:lastModifiedBy>
  <cp:revision>2</cp:revision>
  <dcterms:created xsi:type="dcterms:W3CDTF">2019-07-10T16:32:00Z</dcterms:created>
  <dcterms:modified xsi:type="dcterms:W3CDTF">2019-07-10T16:32:00Z</dcterms:modified>
</cp:coreProperties>
</file>