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575D4" w14:textId="77777777" w:rsidR="009D6137" w:rsidRPr="007820A2" w:rsidRDefault="009D6137" w:rsidP="007820A2">
      <w:pPr>
        <w:pStyle w:val="Default"/>
        <w:jc w:val="center"/>
        <w:rPr>
          <w:b/>
          <w:bCs/>
        </w:rPr>
      </w:pPr>
    </w:p>
    <w:p w14:paraId="4EA60255" w14:textId="77777777" w:rsidR="009D6137" w:rsidRPr="007820A2" w:rsidRDefault="009D6137" w:rsidP="007820A2">
      <w:pPr>
        <w:pStyle w:val="Default"/>
        <w:jc w:val="center"/>
        <w:rPr>
          <w:b/>
          <w:bCs/>
        </w:rPr>
      </w:pPr>
    </w:p>
    <w:p w14:paraId="51B4592F" w14:textId="77777777" w:rsidR="009D6137" w:rsidRPr="007820A2" w:rsidRDefault="009D6137" w:rsidP="007820A2">
      <w:pPr>
        <w:pStyle w:val="Default"/>
        <w:jc w:val="center"/>
        <w:rPr>
          <w:b/>
          <w:bCs/>
        </w:rPr>
      </w:pPr>
    </w:p>
    <w:p w14:paraId="0ECE45E8" w14:textId="77777777" w:rsidR="009D6137" w:rsidRPr="007820A2" w:rsidRDefault="009D6137" w:rsidP="007820A2">
      <w:pPr>
        <w:pStyle w:val="Default"/>
        <w:jc w:val="center"/>
        <w:rPr>
          <w:b/>
          <w:bCs/>
        </w:rPr>
      </w:pPr>
    </w:p>
    <w:p w14:paraId="1A5C82FD" w14:textId="77777777" w:rsidR="009D6137" w:rsidRPr="007820A2" w:rsidRDefault="009D6137" w:rsidP="007820A2">
      <w:pPr>
        <w:pStyle w:val="Default"/>
        <w:jc w:val="center"/>
      </w:pPr>
      <w:r w:rsidRPr="007820A2">
        <w:rPr>
          <w:b/>
          <w:bCs/>
        </w:rPr>
        <w:t>The University of Southern Mississippi</w:t>
      </w:r>
    </w:p>
    <w:p w14:paraId="6A19F61B" w14:textId="4A3506B4" w:rsidR="009D6137" w:rsidRPr="007820A2" w:rsidRDefault="00E30939" w:rsidP="007820A2">
      <w:pPr>
        <w:pStyle w:val="Default"/>
        <w:jc w:val="center"/>
      </w:pPr>
      <w:r w:rsidRPr="007820A2">
        <w:rPr>
          <w:b/>
          <w:bCs/>
        </w:rPr>
        <w:t>College of _____________</w:t>
      </w:r>
    </w:p>
    <w:p w14:paraId="01034D9E" w14:textId="33CFEBE8" w:rsidR="009D6137" w:rsidRPr="007820A2" w:rsidRDefault="00E30939" w:rsidP="007820A2">
      <w:pPr>
        <w:pStyle w:val="Default"/>
        <w:jc w:val="center"/>
        <w:rPr>
          <w:b/>
          <w:bCs/>
        </w:rPr>
      </w:pPr>
      <w:r w:rsidRPr="007820A2">
        <w:rPr>
          <w:b/>
          <w:bCs/>
        </w:rPr>
        <w:t>School</w:t>
      </w:r>
      <w:r w:rsidR="009D6137" w:rsidRPr="007820A2">
        <w:rPr>
          <w:b/>
          <w:bCs/>
        </w:rPr>
        <w:t xml:space="preserve"> of _________</w:t>
      </w:r>
    </w:p>
    <w:p w14:paraId="4A99F52D" w14:textId="1D1777C8" w:rsidR="00E30939" w:rsidRPr="007820A2" w:rsidRDefault="00E30939" w:rsidP="007820A2">
      <w:pPr>
        <w:pStyle w:val="Default"/>
        <w:jc w:val="center"/>
      </w:pPr>
    </w:p>
    <w:p w14:paraId="76C557C6" w14:textId="77777777" w:rsidR="009D6137" w:rsidRPr="007820A2" w:rsidRDefault="009D6137" w:rsidP="007820A2">
      <w:pPr>
        <w:pStyle w:val="Default"/>
        <w:jc w:val="center"/>
      </w:pPr>
    </w:p>
    <w:p w14:paraId="0BC53BAC" w14:textId="77777777" w:rsidR="009D6137" w:rsidRPr="007820A2" w:rsidRDefault="009D6137" w:rsidP="007820A2">
      <w:pPr>
        <w:pStyle w:val="Default"/>
        <w:jc w:val="center"/>
      </w:pPr>
      <w:r w:rsidRPr="007820A2">
        <w:rPr>
          <w:b/>
          <w:bCs/>
        </w:rPr>
        <w:t>Course Title</w:t>
      </w:r>
    </w:p>
    <w:p w14:paraId="288EF45A" w14:textId="77777777" w:rsidR="009D6137" w:rsidRPr="007820A2" w:rsidRDefault="009D6137" w:rsidP="007820A2">
      <w:pPr>
        <w:pStyle w:val="Default"/>
        <w:jc w:val="center"/>
      </w:pPr>
      <w:r w:rsidRPr="007820A2">
        <w:rPr>
          <w:b/>
          <w:bCs/>
        </w:rPr>
        <w:t>Course Prefix and Number</w:t>
      </w:r>
    </w:p>
    <w:p w14:paraId="0F40E363" w14:textId="42420E70" w:rsidR="009D6137" w:rsidRPr="007820A2" w:rsidRDefault="009D6137" w:rsidP="007820A2">
      <w:pPr>
        <w:pStyle w:val="Default"/>
        <w:jc w:val="center"/>
        <w:rPr>
          <w:b/>
          <w:bCs/>
        </w:rPr>
      </w:pPr>
      <w:r w:rsidRPr="007820A2">
        <w:rPr>
          <w:b/>
          <w:bCs/>
        </w:rPr>
        <w:t>Fall</w:t>
      </w:r>
      <w:r w:rsidR="00462560" w:rsidRPr="007820A2">
        <w:rPr>
          <w:b/>
          <w:bCs/>
        </w:rPr>
        <w:t>/Spring/Summer</w:t>
      </w:r>
      <w:r w:rsidRPr="007820A2">
        <w:rPr>
          <w:b/>
          <w:bCs/>
        </w:rPr>
        <w:t xml:space="preserve"> _____</w:t>
      </w:r>
    </w:p>
    <w:p w14:paraId="3E397990" w14:textId="6E45F7C1" w:rsidR="00462560" w:rsidRPr="007820A2" w:rsidRDefault="00462560" w:rsidP="007820A2">
      <w:pPr>
        <w:pStyle w:val="Default"/>
        <w:jc w:val="center"/>
        <w:rPr>
          <w:b/>
          <w:bCs/>
        </w:rPr>
      </w:pPr>
      <w:r w:rsidRPr="007820A2">
        <w:rPr>
          <w:b/>
          <w:bCs/>
        </w:rPr>
        <w:t>Course Meeting Time</w:t>
      </w:r>
      <w:r w:rsidR="005C33D0">
        <w:rPr>
          <w:b/>
          <w:bCs/>
        </w:rPr>
        <w:t>/Chat Time</w:t>
      </w:r>
    </w:p>
    <w:p w14:paraId="722C3A66" w14:textId="5FACD838" w:rsidR="00462560" w:rsidRPr="007820A2" w:rsidRDefault="00462560" w:rsidP="007820A2">
      <w:pPr>
        <w:pStyle w:val="Default"/>
        <w:jc w:val="center"/>
      </w:pPr>
      <w:r w:rsidRPr="007820A2">
        <w:rPr>
          <w:b/>
          <w:bCs/>
        </w:rPr>
        <w:t>Course Meeting Place</w:t>
      </w:r>
    </w:p>
    <w:p w14:paraId="475FF367" w14:textId="77777777" w:rsidR="009D6137" w:rsidRPr="007820A2" w:rsidRDefault="009D6137" w:rsidP="007820A2">
      <w:pPr>
        <w:pStyle w:val="Default"/>
      </w:pPr>
      <w:r w:rsidRPr="007820A2">
        <w:rPr>
          <w:b/>
          <w:bCs/>
        </w:rPr>
        <w:t xml:space="preserve"> </w:t>
      </w:r>
    </w:p>
    <w:p w14:paraId="4709973A" w14:textId="77777777" w:rsidR="009D6137" w:rsidRPr="007820A2" w:rsidRDefault="009D6137" w:rsidP="007820A2">
      <w:pPr>
        <w:pStyle w:val="Default"/>
      </w:pPr>
      <w:r w:rsidRPr="007820A2">
        <w:rPr>
          <w:b/>
          <w:bCs/>
        </w:rPr>
        <w:t xml:space="preserve">PROFESSOR OF RECORD: </w:t>
      </w:r>
    </w:p>
    <w:p w14:paraId="55FB599F" w14:textId="77777777" w:rsidR="009D6137" w:rsidRPr="007820A2" w:rsidRDefault="009D6137" w:rsidP="007820A2">
      <w:pPr>
        <w:pStyle w:val="Default"/>
      </w:pPr>
      <w:r w:rsidRPr="007820A2">
        <w:rPr>
          <w:b/>
          <w:bCs/>
        </w:rPr>
        <w:t xml:space="preserve"> </w:t>
      </w:r>
    </w:p>
    <w:p w14:paraId="26AA0287" w14:textId="77777777" w:rsidR="009D6137" w:rsidRPr="007820A2" w:rsidRDefault="009D6137" w:rsidP="007820A2">
      <w:pPr>
        <w:pStyle w:val="Default"/>
        <w:tabs>
          <w:tab w:val="left" w:pos="4320"/>
        </w:tabs>
      </w:pPr>
      <w:r w:rsidRPr="007820A2">
        <w:rPr>
          <w:b/>
          <w:bCs/>
        </w:rPr>
        <w:t>OFFICE:</w:t>
      </w:r>
      <w:r w:rsidRPr="007820A2">
        <w:rPr>
          <w:b/>
          <w:bCs/>
        </w:rPr>
        <w:tab/>
        <w:t xml:space="preserve">TELEPHONE: </w:t>
      </w:r>
    </w:p>
    <w:p w14:paraId="632FBFBF" w14:textId="77777777" w:rsidR="009D6137" w:rsidRPr="007820A2" w:rsidRDefault="009D6137" w:rsidP="007820A2">
      <w:pPr>
        <w:pStyle w:val="Default"/>
      </w:pPr>
      <w:r w:rsidRPr="007820A2">
        <w:rPr>
          <w:b/>
          <w:bCs/>
        </w:rPr>
        <w:t xml:space="preserve"> </w:t>
      </w:r>
    </w:p>
    <w:p w14:paraId="39DBDFE6" w14:textId="77777777" w:rsidR="009D6137" w:rsidRPr="007820A2" w:rsidRDefault="009D6137" w:rsidP="007820A2">
      <w:pPr>
        <w:pStyle w:val="Default"/>
        <w:tabs>
          <w:tab w:val="left" w:pos="4320"/>
        </w:tabs>
      </w:pPr>
      <w:r w:rsidRPr="007820A2">
        <w:rPr>
          <w:b/>
          <w:bCs/>
        </w:rPr>
        <w:t>OFFICE HOURS:</w:t>
      </w:r>
      <w:r w:rsidRPr="007820A2">
        <w:rPr>
          <w:b/>
          <w:bCs/>
        </w:rPr>
        <w:tab/>
        <w:t xml:space="preserve">EMAIL: </w:t>
      </w:r>
    </w:p>
    <w:p w14:paraId="43294868" w14:textId="77777777" w:rsidR="009D6137" w:rsidRPr="007820A2" w:rsidRDefault="009D6137" w:rsidP="007820A2">
      <w:pPr>
        <w:pStyle w:val="Default"/>
      </w:pPr>
      <w:r w:rsidRPr="007820A2">
        <w:rPr>
          <w:b/>
          <w:bCs/>
        </w:rPr>
        <w:t xml:space="preserve"> </w:t>
      </w:r>
    </w:p>
    <w:p w14:paraId="21CB8D0F" w14:textId="77777777" w:rsidR="009D6137" w:rsidRPr="007820A2" w:rsidRDefault="009D6137" w:rsidP="007820A2">
      <w:pPr>
        <w:pStyle w:val="Default"/>
      </w:pPr>
      <w:r w:rsidRPr="007820A2">
        <w:rPr>
          <w:b/>
          <w:bCs/>
        </w:rPr>
        <w:t xml:space="preserve">APPOINTMENTS: (Professor’s policy on appointment and contact numbers) </w:t>
      </w:r>
    </w:p>
    <w:p w14:paraId="18EF32AC" w14:textId="77777777" w:rsidR="009D6137" w:rsidRPr="007820A2" w:rsidRDefault="009D6137" w:rsidP="007820A2">
      <w:pPr>
        <w:pStyle w:val="Default"/>
      </w:pPr>
      <w:r w:rsidRPr="007820A2">
        <w:rPr>
          <w:b/>
          <w:bCs/>
        </w:rPr>
        <w:t xml:space="preserve"> </w:t>
      </w:r>
    </w:p>
    <w:p w14:paraId="2B77A922" w14:textId="77777777" w:rsidR="009D6137" w:rsidRPr="007820A2" w:rsidRDefault="009D6137" w:rsidP="007820A2">
      <w:pPr>
        <w:pStyle w:val="Default"/>
      </w:pPr>
      <w:r w:rsidRPr="007820A2">
        <w:rPr>
          <w:b/>
          <w:bCs/>
        </w:rPr>
        <w:t xml:space="preserve">DROP DATE: </w:t>
      </w:r>
    </w:p>
    <w:p w14:paraId="28A03D1E" w14:textId="77777777" w:rsidR="009D6137" w:rsidRPr="007820A2" w:rsidRDefault="009D6137" w:rsidP="007820A2">
      <w:pPr>
        <w:pStyle w:val="Default"/>
      </w:pPr>
      <w:r w:rsidRPr="007820A2">
        <w:rPr>
          <w:b/>
          <w:bCs/>
        </w:rPr>
        <w:t xml:space="preserve"> </w:t>
      </w:r>
    </w:p>
    <w:p w14:paraId="2655717B" w14:textId="77777777" w:rsidR="009D6137" w:rsidRPr="007820A2" w:rsidRDefault="009D6137" w:rsidP="007820A2">
      <w:pPr>
        <w:pStyle w:val="Default"/>
      </w:pPr>
      <w:r w:rsidRPr="007820A2">
        <w:rPr>
          <w:b/>
          <w:bCs/>
        </w:rPr>
        <w:t xml:space="preserve">COURSE PREREQUISITE(S): (or acceptable substitutes) </w:t>
      </w:r>
    </w:p>
    <w:p w14:paraId="36EF3D66" w14:textId="77777777" w:rsidR="009D6137" w:rsidRPr="007820A2" w:rsidRDefault="009D6137" w:rsidP="007820A2">
      <w:pPr>
        <w:pStyle w:val="Default"/>
      </w:pPr>
      <w:r w:rsidRPr="007820A2">
        <w:rPr>
          <w:b/>
          <w:bCs/>
        </w:rPr>
        <w:t xml:space="preserve"> </w:t>
      </w:r>
    </w:p>
    <w:p w14:paraId="131330FF" w14:textId="77777777" w:rsidR="009D6137" w:rsidRPr="007820A2" w:rsidRDefault="009D6137" w:rsidP="007820A2">
      <w:pPr>
        <w:pStyle w:val="Default"/>
      </w:pPr>
      <w:r w:rsidRPr="007820A2">
        <w:rPr>
          <w:b/>
          <w:bCs/>
        </w:rPr>
        <w:t xml:space="preserve">CREDIT HOURS: </w:t>
      </w:r>
    </w:p>
    <w:p w14:paraId="624B704A" w14:textId="77777777" w:rsidR="009D6137" w:rsidRPr="007820A2" w:rsidRDefault="009D6137" w:rsidP="007820A2">
      <w:pPr>
        <w:pStyle w:val="Default"/>
      </w:pPr>
      <w:r w:rsidRPr="007820A2">
        <w:rPr>
          <w:b/>
          <w:bCs/>
        </w:rPr>
        <w:t xml:space="preserve"> </w:t>
      </w:r>
    </w:p>
    <w:p w14:paraId="031FB5EE" w14:textId="401CA7ED" w:rsidR="009D6137" w:rsidRPr="007820A2" w:rsidRDefault="009D6137" w:rsidP="007820A2">
      <w:pPr>
        <w:pStyle w:val="Default"/>
        <w:rPr>
          <w:b/>
          <w:bCs/>
        </w:rPr>
      </w:pPr>
      <w:r w:rsidRPr="007820A2">
        <w:rPr>
          <w:b/>
          <w:bCs/>
        </w:rPr>
        <w:t xml:space="preserve">CATALOG DESCRIPTION: </w:t>
      </w:r>
    </w:p>
    <w:p w14:paraId="02C7AF9F" w14:textId="212E5FE8" w:rsidR="006C480D" w:rsidRPr="007820A2" w:rsidRDefault="007E6F0E" w:rsidP="007820A2">
      <w:pPr>
        <w:spacing w:after="0" w:line="240" w:lineRule="auto"/>
        <w:ind w:left="720" w:right="720"/>
        <w:rPr>
          <w:rFonts w:ascii="Times New Roman" w:hAnsi="Times New Roman" w:cs="Times New Roman"/>
          <w:i/>
          <w:sz w:val="24"/>
          <w:szCs w:val="24"/>
        </w:rPr>
      </w:pPr>
      <w:r>
        <w:rPr>
          <w:rFonts w:ascii="Times New Roman" w:hAnsi="Times New Roman" w:cs="Times New Roman"/>
          <w:i/>
          <w:sz w:val="24"/>
          <w:szCs w:val="24"/>
        </w:rPr>
        <w:t>[Official course description</w:t>
      </w:r>
      <w:r w:rsidR="007F3921">
        <w:rPr>
          <w:rFonts w:ascii="Times New Roman" w:hAnsi="Times New Roman" w:cs="Times New Roman"/>
          <w:i/>
          <w:sz w:val="24"/>
          <w:szCs w:val="24"/>
        </w:rPr>
        <w:t xml:space="preserve"> from bulletin</w:t>
      </w:r>
      <w:r>
        <w:rPr>
          <w:rFonts w:ascii="Times New Roman" w:hAnsi="Times New Roman" w:cs="Times New Roman"/>
          <w:i/>
          <w:sz w:val="24"/>
          <w:szCs w:val="24"/>
        </w:rPr>
        <w:t>]</w:t>
      </w:r>
    </w:p>
    <w:p w14:paraId="5E6684DE" w14:textId="77777777" w:rsidR="007820A2" w:rsidRPr="007820A2" w:rsidRDefault="007820A2" w:rsidP="007820A2">
      <w:pPr>
        <w:spacing w:after="0" w:line="240" w:lineRule="auto"/>
        <w:rPr>
          <w:rFonts w:ascii="Times New Roman" w:hAnsi="Times New Roman" w:cs="Times New Roman"/>
          <w:b/>
          <w:sz w:val="24"/>
          <w:szCs w:val="24"/>
        </w:rPr>
      </w:pPr>
    </w:p>
    <w:p w14:paraId="5ED018A7" w14:textId="3E019965" w:rsidR="006C480D" w:rsidRPr="007820A2" w:rsidRDefault="006C480D" w:rsidP="007820A2">
      <w:pPr>
        <w:spacing w:after="0" w:line="240" w:lineRule="auto"/>
        <w:rPr>
          <w:rFonts w:ascii="Times New Roman" w:hAnsi="Times New Roman" w:cs="Times New Roman"/>
          <w:b/>
          <w:sz w:val="24"/>
          <w:szCs w:val="24"/>
        </w:rPr>
      </w:pPr>
      <w:r w:rsidRPr="007820A2">
        <w:rPr>
          <w:rFonts w:ascii="Times New Roman" w:hAnsi="Times New Roman" w:cs="Times New Roman"/>
          <w:b/>
          <w:sz w:val="24"/>
          <w:szCs w:val="24"/>
        </w:rPr>
        <w:t>COURSE MATERIALS</w:t>
      </w:r>
    </w:p>
    <w:p w14:paraId="682CF91E" w14:textId="1A17637B" w:rsidR="009D6137" w:rsidRPr="007820A2" w:rsidRDefault="006C480D" w:rsidP="007820A2">
      <w:pPr>
        <w:spacing w:after="0" w:line="240" w:lineRule="auto"/>
        <w:ind w:left="720" w:right="720"/>
        <w:rPr>
          <w:rFonts w:ascii="Times New Roman" w:hAnsi="Times New Roman" w:cs="Times New Roman"/>
          <w:i/>
          <w:sz w:val="24"/>
          <w:szCs w:val="24"/>
        </w:rPr>
      </w:pPr>
      <w:r w:rsidRPr="007820A2">
        <w:rPr>
          <w:rFonts w:ascii="Times New Roman" w:hAnsi="Times New Roman" w:cs="Times New Roman"/>
          <w:i/>
          <w:sz w:val="24"/>
          <w:szCs w:val="24"/>
        </w:rPr>
        <w:t xml:space="preserve">[List required books, technology (e.g., </w:t>
      </w:r>
      <w:proofErr w:type="spellStart"/>
      <w:r w:rsidRPr="007820A2">
        <w:rPr>
          <w:rFonts w:ascii="Times New Roman" w:hAnsi="Times New Roman" w:cs="Times New Roman"/>
          <w:i/>
          <w:sz w:val="24"/>
          <w:szCs w:val="24"/>
        </w:rPr>
        <w:t>iClickers</w:t>
      </w:r>
      <w:proofErr w:type="spellEnd"/>
      <w:r w:rsidRPr="007820A2">
        <w:rPr>
          <w:rFonts w:ascii="Times New Roman" w:hAnsi="Times New Roman" w:cs="Times New Roman"/>
          <w:i/>
          <w:sz w:val="24"/>
          <w:szCs w:val="24"/>
        </w:rPr>
        <w:t>), or other materials, including full titles and ISBN numbers]</w:t>
      </w:r>
      <w:r w:rsidR="009D6137" w:rsidRPr="007820A2">
        <w:rPr>
          <w:rFonts w:ascii="Times New Roman" w:hAnsi="Times New Roman" w:cs="Times New Roman"/>
          <w:b/>
          <w:bCs/>
          <w:sz w:val="24"/>
          <w:szCs w:val="24"/>
        </w:rPr>
        <w:t xml:space="preserve"> </w:t>
      </w:r>
    </w:p>
    <w:p w14:paraId="1DCA5123" w14:textId="77777777" w:rsidR="007820A2" w:rsidRPr="007820A2" w:rsidRDefault="007820A2" w:rsidP="007820A2">
      <w:pPr>
        <w:pStyle w:val="Default"/>
        <w:rPr>
          <w:b/>
          <w:bCs/>
        </w:rPr>
      </w:pPr>
    </w:p>
    <w:p w14:paraId="205DF47A" w14:textId="1E0415F0" w:rsidR="009D6137" w:rsidRPr="007820A2" w:rsidRDefault="009D6137" w:rsidP="007820A2">
      <w:pPr>
        <w:pStyle w:val="Default"/>
      </w:pPr>
      <w:r w:rsidRPr="007820A2">
        <w:rPr>
          <w:b/>
          <w:bCs/>
        </w:rPr>
        <w:t xml:space="preserve">OPTIONAL/ SUPPLEMENTARY TEXT:  </w:t>
      </w:r>
    </w:p>
    <w:p w14:paraId="4F78BA78" w14:textId="77777777" w:rsidR="009D6137" w:rsidRPr="007820A2" w:rsidRDefault="009D6137" w:rsidP="007820A2">
      <w:pPr>
        <w:pStyle w:val="Default"/>
      </w:pPr>
      <w:r w:rsidRPr="007820A2">
        <w:rPr>
          <w:b/>
          <w:bCs/>
        </w:rPr>
        <w:t xml:space="preserve"> </w:t>
      </w:r>
    </w:p>
    <w:p w14:paraId="659678BD" w14:textId="2FA11B36" w:rsidR="009D6137" w:rsidRPr="007820A2" w:rsidRDefault="00462560" w:rsidP="007820A2">
      <w:pPr>
        <w:pStyle w:val="Default"/>
      </w:pPr>
      <w:r w:rsidRPr="007820A2">
        <w:rPr>
          <w:b/>
          <w:bCs/>
        </w:rPr>
        <w:t xml:space="preserve">Professional Educational Unit </w:t>
      </w:r>
      <w:r w:rsidR="00857955" w:rsidRPr="007820A2">
        <w:rPr>
          <w:b/>
          <w:bCs/>
        </w:rPr>
        <w:t>CONCEPTUAL FRAMEWORK</w:t>
      </w:r>
    </w:p>
    <w:p w14:paraId="7BA342C4" w14:textId="77777777" w:rsidR="009D6137" w:rsidRPr="007820A2" w:rsidRDefault="009D6137" w:rsidP="007820A2">
      <w:pPr>
        <w:pStyle w:val="NoSpacing"/>
        <w:rPr>
          <w:rFonts w:ascii="Times New Roman" w:hAnsi="Times New Roman"/>
          <w:sz w:val="24"/>
          <w:szCs w:val="24"/>
        </w:rPr>
      </w:pPr>
      <w:r w:rsidRPr="007820A2">
        <w:rPr>
          <w:rFonts w:ascii="Times New Roman" w:hAnsi="Times New Roman"/>
          <w:sz w:val="24"/>
          <w:szCs w:val="24"/>
        </w:rPr>
        <w:t xml:space="preserve">The Professional Education Unit’s Conceptual Framework is consistent with the University’s historical roots as a normal college, its mission, and its future.  The University, since our founding in 1910, has been committed to the outstanding preparation of teachers, counselors, administrators, and other school personnel. In accordance with this history and the present vision and mission of the University, the mission of the Unit is fivefold: a) educate the whole student; b) prepare high quality teachers and leaders for Mississippi classrooms; c) conduct innovative, relevant research; d) promote a healthier region; and e) enhance cultural understanding. </w:t>
      </w:r>
    </w:p>
    <w:p w14:paraId="4145579B" w14:textId="77777777" w:rsidR="009D6137" w:rsidRPr="007820A2" w:rsidRDefault="009D6137" w:rsidP="007820A2">
      <w:pPr>
        <w:pStyle w:val="NoSpacing"/>
        <w:rPr>
          <w:rFonts w:ascii="Times New Roman" w:hAnsi="Times New Roman"/>
          <w:sz w:val="24"/>
          <w:szCs w:val="24"/>
        </w:rPr>
      </w:pPr>
      <w:r w:rsidRPr="007820A2">
        <w:rPr>
          <w:rFonts w:ascii="Times New Roman" w:hAnsi="Times New Roman"/>
          <w:sz w:val="24"/>
          <w:szCs w:val="24"/>
        </w:rPr>
        <w:t xml:space="preserve"> </w:t>
      </w:r>
    </w:p>
    <w:p w14:paraId="1C3EBFA2" w14:textId="77777777" w:rsidR="009D6137" w:rsidRPr="007820A2" w:rsidRDefault="009D6137" w:rsidP="007820A2">
      <w:pPr>
        <w:pStyle w:val="NoSpacing"/>
        <w:rPr>
          <w:rFonts w:ascii="Times New Roman" w:hAnsi="Times New Roman"/>
          <w:sz w:val="24"/>
          <w:szCs w:val="24"/>
        </w:rPr>
      </w:pPr>
      <w:r w:rsidRPr="007820A2">
        <w:rPr>
          <w:rFonts w:ascii="Times New Roman" w:hAnsi="Times New Roman"/>
          <w:sz w:val="24"/>
          <w:szCs w:val="24"/>
        </w:rPr>
        <w:t>The Unit has embedded knowledge, skills, and dispositions throughout its teacher education program to prepare students to become creative, bold, and determined educational leaders who possess the power of knowledge to inform, to inspire, to transform lives, and to empower a community of learners.</w:t>
      </w:r>
      <w:r w:rsidRPr="007820A2">
        <w:rPr>
          <w:rFonts w:ascii="Times New Roman" w:hAnsi="Times New Roman"/>
          <w:b/>
          <w:bCs/>
          <w:sz w:val="24"/>
          <w:szCs w:val="24"/>
        </w:rPr>
        <w:t xml:space="preserve"> </w:t>
      </w:r>
    </w:p>
    <w:p w14:paraId="3547CC63" w14:textId="77777777" w:rsidR="00A5379C" w:rsidRPr="007820A2" w:rsidRDefault="00A5379C" w:rsidP="007820A2">
      <w:pPr>
        <w:pStyle w:val="Default"/>
        <w:rPr>
          <w:b/>
          <w:bCs/>
        </w:rPr>
      </w:pPr>
    </w:p>
    <w:p w14:paraId="7A381FA7" w14:textId="50D5CDDF" w:rsidR="009D6137" w:rsidRPr="007820A2" w:rsidRDefault="00AF1C20" w:rsidP="007820A2">
      <w:pPr>
        <w:pStyle w:val="Default"/>
      </w:pPr>
      <w:r w:rsidRPr="007820A2">
        <w:rPr>
          <w:b/>
          <w:bCs/>
        </w:rPr>
        <w:t>WATERMARK</w:t>
      </w:r>
      <w:r w:rsidR="00857955" w:rsidRPr="007820A2">
        <w:rPr>
          <w:b/>
          <w:bCs/>
        </w:rPr>
        <w:t xml:space="preserve"> (formally known as Tk20)</w:t>
      </w:r>
      <w:r w:rsidR="009D6137" w:rsidRPr="007820A2">
        <w:rPr>
          <w:b/>
          <w:bCs/>
        </w:rPr>
        <w:t xml:space="preserve"> NOTIFICATION STATEMENT: </w:t>
      </w:r>
    </w:p>
    <w:p w14:paraId="2D99E0AF" w14:textId="60EF871B" w:rsidR="009D6137" w:rsidRPr="00FB7A84" w:rsidRDefault="00FB7A84" w:rsidP="00FB7A84">
      <w:pPr>
        <w:rPr>
          <w:rFonts w:ascii="Times New Roman" w:hAnsi="Times New Roman" w:cs="Times New Roman"/>
          <w:iCs/>
          <w:sz w:val="24"/>
          <w:szCs w:val="24"/>
        </w:rPr>
      </w:pPr>
      <w:r w:rsidRPr="00FB7A84">
        <w:rPr>
          <w:rStyle w:val="apple-style-span"/>
          <w:rFonts w:ascii="Times New Roman" w:hAnsi="Times New Roman" w:cs="Times New Roman"/>
          <w:iCs/>
          <w:sz w:val="24"/>
          <w:szCs w:val="24"/>
        </w:rPr>
        <w:t xml:space="preserve">The Professional Education policy at Southern Miss requires all teacher education candidates to subscribe to Tk20 by Watermark, a learning assessment platform which </w:t>
      </w:r>
      <w:r w:rsidRPr="00FB7A84">
        <w:rPr>
          <w:rStyle w:val="apple-style-span"/>
          <w:rFonts w:ascii="Times New Roman" w:hAnsi="Times New Roman" w:cs="Times New Roman"/>
          <w:b/>
          <w:iCs/>
          <w:sz w:val="24"/>
          <w:szCs w:val="24"/>
        </w:rPr>
        <w:t xml:space="preserve">provides an electronic portfolio and storage system for candidates that </w:t>
      </w:r>
      <w:r w:rsidRPr="00FB7A84">
        <w:rPr>
          <w:rStyle w:val="apple-style-span"/>
          <w:rFonts w:ascii="Times New Roman" w:hAnsi="Times New Roman" w:cs="Times New Roman"/>
          <w:iCs/>
          <w:sz w:val="24"/>
          <w:szCs w:val="24"/>
        </w:rPr>
        <w:t>will track, store coursework, showcase what you have learned, and share your best work with others, including potential employers – now and for years to come.  Our institution will also be able to use the same system to d</w:t>
      </w:r>
      <w:bookmarkStart w:id="0" w:name="_GoBack"/>
      <w:bookmarkEnd w:id="0"/>
      <w:r w:rsidRPr="00FB7A84">
        <w:rPr>
          <w:rStyle w:val="apple-style-span"/>
          <w:rFonts w:ascii="Times New Roman" w:hAnsi="Times New Roman" w:cs="Times New Roman"/>
          <w:iCs/>
          <w:sz w:val="24"/>
          <w:szCs w:val="24"/>
        </w:rPr>
        <w:t xml:space="preserve">emonstrate the quality of our academic programs and gather data on learning to make changes that ultimately improve our programs.  The URL is </w:t>
      </w:r>
      <w:hyperlink r:id="rId7" w:history="1">
        <w:r w:rsidRPr="00FB7A84">
          <w:rPr>
            <w:rStyle w:val="Hyperlink"/>
            <w:rFonts w:ascii="Times New Roman" w:hAnsi="Times New Roman" w:cs="Times New Roman"/>
            <w:iCs/>
            <w:sz w:val="24"/>
            <w:szCs w:val="24"/>
          </w:rPr>
          <w:t>https://usm.tk20.com</w:t>
        </w:r>
      </w:hyperlink>
      <w:r w:rsidRPr="00FB7A84">
        <w:rPr>
          <w:rStyle w:val="apple-style-span"/>
          <w:rFonts w:ascii="Times New Roman" w:hAnsi="Times New Roman" w:cs="Times New Roman"/>
          <w:iCs/>
          <w:sz w:val="24"/>
          <w:szCs w:val="24"/>
        </w:rPr>
        <w:t>.</w:t>
      </w:r>
    </w:p>
    <w:p w14:paraId="034D56B8" w14:textId="1F1CE456" w:rsidR="009D6137" w:rsidRPr="007820A2" w:rsidRDefault="009D6137" w:rsidP="007820A2">
      <w:pPr>
        <w:pStyle w:val="Default"/>
      </w:pPr>
      <w:r w:rsidRPr="007820A2">
        <w:rPr>
          <w:b/>
          <w:bCs/>
        </w:rPr>
        <w:t xml:space="preserve">BACKGROUND CHECK STATEMENT: </w:t>
      </w:r>
    </w:p>
    <w:p w14:paraId="4E9700FA" w14:textId="2F602592" w:rsidR="009D6137" w:rsidRPr="007820A2" w:rsidRDefault="009D6137" w:rsidP="007820A2">
      <w:pPr>
        <w:pStyle w:val="Default"/>
      </w:pPr>
      <w:r w:rsidRPr="007820A2">
        <w:t>Each Southern Miss student who applies for admission to a teacher education program must undergo a background check when applying for the Gold Card.  Students who pass the background checking process will be eligible for admission to teacher education pending satisfaction o</w:t>
      </w:r>
      <w:r w:rsidR="007F3921">
        <w:t>f other admission requirements.</w:t>
      </w:r>
    </w:p>
    <w:p w14:paraId="120D6604" w14:textId="77777777" w:rsidR="009D6137" w:rsidRPr="007820A2" w:rsidRDefault="009D6137" w:rsidP="007820A2">
      <w:pPr>
        <w:pStyle w:val="Default"/>
      </w:pPr>
      <w:r w:rsidRPr="007820A2">
        <w:rPr>
          <w:b/>
          <w:bCs/>
        </w:rPr>
        <w:t xml:space="preserve"> </w:t>
      </w:r>
    </w:p>
    <w:p w14:paraId="270F7036" w14:textId="55893F4E" w:rsidR="009D6137" w:rsidRPr="007820A2" w:rsidRDefault="009D6137" w:rsidP="007820A2">
      <w:pPr>
        <w:pStyle w:val="Default"/>
      </w:pPr>
      <w:r w:rsidRPr="007820A2">
        <w:rPr>
          <w:b/>
          <w:bCs/>
        </w:rPr>
        <w:t>COURSE GOALS</w:t>
      </w:r>
      <w:r w:rsidRPr="007820A2">
        <w:t>: (tie each one to SPA stan</w:t>
      </w:r>
      <w:r w:rsidR="00A5379C" w:rsidRPr="007820A2">
        <w:t>dards, conceptual framework and</w:t>
      </w:r>
      <w:r w:rsidRPr="007820A2">
        <w:t xml:space="preserve"> </w:t>
      </w:r>
      <w:r w:rsidR="00462560" w:rsidRPr="007820A2">
        <w:t xml:space="preserve">CAEP </w:t>
      </w:r>
      <w:r w:rsidRPr="007820A2">
        <w:t xml:space="preserve">as applicable) </w:t>
      </w:r>
    </w:p>
    <w:p w14:paraId="16508968" w14:textId="77777777" w:rsidR="009D6137" w:rsidRPr="007820A2" w:rsidRDefault="009D6137" w:rsidP="007820A2">
      <w:pPr>
        <w:pStyle w:val="Default"/>
      </w:pPr>
      <w:r w:rsidRPr="007820A2">
        <w:t xml:space="preserve"> </w:t>
      </w:r>
    </w:p>
    <w:p w14:paraId="2AB420B1" w14:textId="77777777" w:rsidR="009D6137" w:rsidRPr="007820A2" w:rsidRDefault="009D6137" w:rsidP="007820A2">
      <w:pPr>
        <w:pStyle w:val="Default"/>
      </w:pPr>
      <w:r w:rsidRPr="007820A2">
        <w:rPr>
          <w:b/>
          <w:bCs/>
        </w:rPr>
        <w:t>STUDENT LEARNING OUTCOMES(S</w:t>
      </w:r>
      <w:r w:rsidRPr="007820A2">
        <w:t xml:space="preserve">):  The student will…student outcomes </w:t>
      </w:r>
      <w:proofErr w:type="gramStart"/>
      <w:r w:rsidRPr="007820A2">
        <w:t>as a result</w:t>
      </w:r>
      <w:proofErr w:type="gramEnd"/>
      <w:r w:rsidRPr="007820A2">
        <w:t xml:space="preserve"> of course. </w:t>
      </w:r>
    </w:p>
    <w:p w14:paraId="5B56EBD5" w14:textId="77777777" w:rsidR="009D6137" w:rsidRPr="007820A2" w:rsidRDefault="009D6137" w:rsidP="007820A2">
      <w:pPr>
        <w:pStyle w:val="Default"/>
      </w:pPr>
      <w:r w:rsidRPr="007820A2">
        <w:t xml:space="preserve"> </w:t>
      </w:r>
    </w:p>
    <w:p w14:paraId="30A239CC" w14:textId="0093EF2A" w:rsidR="009D6137" w:rsidRPr="007820A2" w:rsidRDefault="009D6137" w:rsidP="007820A2">
      <w:pPr>
        <w:pStyle w:val="Default"/>
      </w:pPr>
      <w:r w:rsidRPr="007820A2">
        <w:rPr>
          <w:b/>
          <w:bCs/>
        </w:rPr>
        <w:t>TECHNOLOGY COMPETENCIES</w:t>
      </w:r>
      <w:r w:rsidRPr="007820A2">
        <w:t xml:space="preserve">: (tie to SPA, national boards, or </w:t>
      </w:r>
      <w:r w:rsidR="00462560" w:rsidRPr="007820A2">
        <w:t>ISTE</w:t>
      </w:r>
      <w:r w:rsidRPr="007820A2">
        <w:t xml:space="preserve"> standards)  </w:t>
      </w:r>
    </w:p>
    <w:p w14:paraId="5A9024C5" w14:textId="77777777" w:rsidR="009D6137" w:rsidRPr="007820A2" w:rsidRDefault="009D6137" w:rsidP="007820A2">
      <w:pPr>
        <w:pStyle w:val="Default"/>
        <w:rPr>
          <w:b/>
          <w:bCs/>
        </w:rPr>
      </w:pPr>
    </w:p>
    <w:p w14:paraId="602B631C" w14:textId="77777777" w:rsidR="007820A2" w:rsidRDefault="009D6137" w:rsidP="007820A2">
      <w:pPr>
        <w:pStyle w:val="Default"/>
      </w:pPr>
      <w:r w:rsidRPr="007820A2">
        <w:rPr>
          <w:b/>
          <w:bCs/>
        </w:rPr>
        <w:t>COURSE REQUIREMENTS</w:t>
      </w:r>
      <w:r w:rsidRPr="007820A2">
        <w:t xml:space="preserve">: </w:t>
      </w:r>
    </w:p>
    <w:p w14:paraId="66DF755A" w14:textId="7CAF0DD9" w:rsidR="009D6137" w:rsidRPr="007820A2" w:rsidRDefault="007820A2" w:rsidP="007820A2">
      <w:pPr>
        <w:pStyle w:val="Default"/>
        <w:ind w:left="720" w:right="720"/>
        <w:rPr>
          <w:i/>
        </w:rPr>
      </w:pPr>
      <w:r w:rsidRPr="007820A2">
        <w:rPr>
          <w:i/>
        </w:rPr>
        <w:t>[T</w:t>
      </w:r>
      <w:r w:rsidR="009D6137" w:rsidRPr="007820A2">
        <w:rPr>
          <w:i/>
        </w:rPr>
        <w:t xml:space="preserve">ie to SPA standards, conceptual </w:t>
      </w:r>
      <w:proofErr w:type="gramStart"/>
      <w:r w:rsidR="009D6137" w:rsidRPr="007820A2">
        <w:rPr>
          <w:i/>
        </w:rPr>
        <w:t>framework</w:t>
      </w:r>
      <w:proofErr w:type="gramEnd"/>
      <w:r w:rsidR="009D6137" w:rsidRPr="007820A2">
        <w:rPr>
          <w:i/>
        </w:rPr>
        <w:t xml:space="preserve"> and NCATE as applicable: place point values or gradi</w:t>
      </w:r>
      <w:r w:rsidRPr="007820A2">
        <w:rPr>
          <w:i/>
        </w:rPr>
        <w:t>ng criteria here as applicable]</w:t>
      </w:r>
    </w:p>
    <w:p w14:paraId="25A5EB18" w14:textId="77777777" w:rsidR="009D6137" w:rsidRPr="007820A2" w:rsidRDefault="009D6137" w:rsidP="007820A2">
      <w:pPr>
        <w:pStyle w:val="Default"/>
        <w:rPr>
          <w:i/>
        </w:rPr>
      </w:pPr>
      <w:r w:rsidRPr="007820A2">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878"/>
        <w:gridCol w:w="963"/>
        <w:gridCol w:w="1509"/>
        <w:gridCol w:w="1870"/>
        <w:gridCol w:w="1590"/>
        <w:gridCol w:w="1590"/>
      </w:tblGrid>
      <w:tr w:rsidR="00AF1C20" w:rsidRPr="007820A2" w14:paraId="5A896F93" w14:textId="77777777" w:rsidTr="007820A2">
        <w:tc>
          <w:tcPr>
            <w:tcW w:w="1670" w:type="dxa"/>
          </w:tcPr>
          <w:p w14:paraId="6938B2AF" w14:textId="77777777" w:rsidR="00462560" w:rsidRPr="007820A2" w:rsidRDefault="00462560" w:rsidP="007820A2">
            <w:pPr>
              <w:pStyle w:val="Default"/>
              <w:jc w:val="center"/>
              <w:rPr>
                <w:b/>
              </w:rPr>
            </w:pPr>
            <w:r w:rsidRPr="007820A2">
              <w:rPr>
                <w:b/>
              </w:rPr>
              <w:t>Assignment(s)</w:t>
            </w:r>
          </w:p>
        </w:tc>
        <w:tc>
          <w:tcPr>
            <w:tcW w:w="878" w:type="dxa"/>
          </w:tcPr>
          <w:p w14:paraId="3F2BE1E7" w14:textId="77777777" w:rsidR="00462560" w:rsidRPr="007820A2" w:rsidRDefault="00462560" w:rsidP="007820A2">
            <w:pPr>
              <w:pStyle w:val="Default"/>
              <w:jc w:val="center"/>
              <w:rPr>
                <w:b/>
              </w:rPr>
            </w:pPr>
            <w:r w:rsidRPr="007820A2">
              <w:rPr>
                <w:b/>
              </w:rPr>
              <w:t>Due Date</w:t>
            </w:r>
          </w:p>
        </w:tc>
        <w:tc>
          <w:tcPr>
            <w:tcW w:w="963" w:type="dxa"/>
          </w:tcPr>
          <w:p w14:paraId="4D058CDA" w14:textId="77777777" w:rsidR="00AF1C20" w:rsidRPr="007820A2" w:rsidRDefault="00462560" w:rsidP="007820A2">
            <w:pPr>
              <w:pStyle w:val="Default"/>
              <w:jc w:val="center"/>
              <w:rPr>
                <w:b/>
              </w:rPr>
            </w:pPr>
            <w:r w:rsidRPr="007820A2">
              <w:rPr>
                <w:b/>
              </w:rPr>
              <w:t>Points/</w:t>
            </w:r>
          </w:p>
          <w:p w14:paraId="11863E33" w14:textId="28407CEE" w:rsidR="00462560" w:rsidRPr="007820A2" w:rsidRDefault="00462560" w:rsidP="007820A2">
            <w:pPr>
              <w:pStyle w:val="Default"/>
              <w:jc w:val="center"/>
              <w:rPr>
                <w:b/>
              </w:rPr>
            </w:pPr>
            <w:r w:rsidRPr="007820A2">
              <w:rPr>
                <w:b/>
              </w:rPr>
              <w:t>Grade</w:t>
            </w:r>
          </w:p>
        </w:tc>
        <w:tc>
          <w:tcPr>
            <w:tcW w:w="1509" w:type="dxa"/>
          </w:tcPr>
          <w:p w14:paraId="660CF7DA" w14:textId="30E758E7" w:rsidR="00462560" w:rsidRPr="007820A2" w:rsidRDefault="00462560" w:rsidP="007820A2">
            <w:pPr>
              <w:pStyle w:val="Default"/>
              <w:jc w:val="center"/>
              <w:rPr>
                <w:b/>
              </w:rPr>
            </w:pPr>
            <w:r w:rsidRPr="007820A2">
              <w:rPr>
                <w:b/>
              </w:rPr>
              <w:t xml:space="preserve">Rubric </w:t>
            </w:r>
            <w:r w:rsidR="00AF1C20" w:rsidRPr="007820A2">
              <w:rPr>
                <w:b/>
              </w:rPr>
              <w:t>Location (Canvas, Syllabus, Watermark)</w:t>
            </w:r>
          </w:p>
        </w:tc>
        <w:tc>
          <w:tcPr>
            <w:tcW w:w="1870" w:type="dxa"/>
          </w:tcPr>
          <w:p w14:paraId="1A8D516C" w14:textId="714A68E1" w:rsidR="00462560" w:rsidRPr="007820A2" w:rsidRDefault="00462560" w:rsidP="007820A2">
            <w:pPr>
              <w:pStyle w:val="Default"/>
              <w:jc w:val="center"/>
              <w:rPr>
                <w:b/>
              </w:rPr>
            </w:pPr>
            <w:r w:rsidRPr="007820A2">
              <w:rPr>
                <w:b/>
              </w:rPr>
              <w:t>MS College &amp; Career Readiness Standards or Appropriate Framework</w:t>
            </w:r>
          </w:p>
        </w:tc>
        <w:tc>
          <w:tcPr>
            <w:tcW w:w="1590" w:type="dxa"/>
          </w:tcPr>
          <w:p w14:paraId="0A408AE9" w14:textId="011D91C5" w:rsidR="00462560" w:rsidRPr="007820A2" w:rsidRDefault="00462560" w:rsidP="007820A2">
            <w:pPr>
              <w:pStyle w:val="Default"/>
              <w:jc w:val="center"/>
              <w:rPr>
                <w:b/>
              </w:rPr>
            </w:pPr>
            <w:r w:rsidRPr="007820A2">
              <w:rPr>
                <w:b/>
              </w:rPr>
              <w:t>Standards SPA, ISTE, INTASC</w:t>
            </w:r>
          </w:p>
        </w:tc>
        <w:tc>
          <w:tcPr>
            <w:tcW w:w="1590" w:type="dxa"/>
          </w:tcPr>
          <w:p w14:paraId="3A794CF0" w14:textId="29BF3AD3" w:rsidR="00462560" w:rsidRPr="007820A2" w:rsidRDefault="00AF1C20" w:rsidP="007820A2">
            <w:pPr>
              <w:pStyle w:val="Default"/>
              <w:jc w:val="center"/>
              <w:rPr>
                <w:b/>
              </w:rPr>
            </w:pPr>
            <w:r w:rsidRPr="007820A2">
              <w:rPr>
                <w:b/>
              </w:rPr>
              <w:t>Mississippi Code of Ethics, Dispositions, Professional Growth System</w:t>
            </w:r>
          </w:p>
        </w:tc>
      </w:tr>
      <w:tr w:rsidR="00AF1C20" w:rsidRPr="007820A2" w14:paraId="08E152CE" w14:textId="77777777" w:rsidTr="007820A2">
        <w:tc>
          <w:tcPr>
            <w:tcW w:w="1670" w:type="dxa"/>
          </w:tcPr>
          <w:p w14:paraId="658A32D1" w14:textId="77777777" w:rsidR="00462560" w:rsidRPr="007820A2" w:rsidRDefault="00462560" w:rsidP="007820A2">
            <w:pPr>
              <w:pStyle w:val="Default"/>
            </w:pPr>
          </w:p>
        </w:tc>
        <w:tc>
          <w:tcPr>
            <w:tcW w:w="878" w:type="dxa"/>
          </w:tcPr>
          <w:p w14:paraId="01CC62A8" w14:textId="77777777" w:rsidR="00462560" w:rsidRPr="007820A2" w:rsidRDefault="00462560" w:rsidP="007820A2">
            <w:pPr>
              <w:pStyle w:val="Default"/>
            </w:pPr>
          </w:p>
        </w:tc>
        <w:tc>
          <w:tcPr>
            <w:tcW w:w="963" w:type="dxa"/>
          </w:tcPr>
          <w:p w14:paraId="18F17BA2" w14:textId="77777777" w:rsidR="00462560" w:rsidRPr="007820A2" w:rsidRDefault="00462560" w:rsidP="007820A2">
            <w:pPr>
              <w:pStyle w:val="Default"/>
            </w:pPr>
          </w:p>
        </w:tc>
        <w:tc>
          <w:tcPr>
            <w:tcW w:w="1509" w:type="dxa"/>
          </w:tcPr>
          <w:p w14:paraId="0320BCF7" w14:textId="77777777" w:rsidR="00462560" w:rsidRPr="007820A2" w:rsidRDefault="00462560" w:rsidP="007820A2">
            <w:pPr>
              <w:pStyle w:val="Default"/>
            </w:pPr>
          </w:p>
        </w:tc>
        <w:tc>
          <w:tcPr>
            <w:tcW w:w="1870" w:type="dxa"/>
          </w:tcPr>
          <w:p w14:paraId="19FE024F" w14:textId="77777777" w:rsidR="00462560" w:rsidRPr="007820A2" w:rsidRDefault="00462560" w:rsidP="007820A2">
            <w:pPr>
              <w:pStyle w:val="Default"/>
            </w:pPr>
          </w:p>
        </w:tc>
        <w:tc>
          <w:tcPr>
            <w:tcW w:w="1590" w:type="dxa"/>
          </w:tcPr>
          <w:p w14:paraId="37FDF8CD" w14:textId="77777777" w:rsidR="00462560" w:rsidRPr="007820A2" w:rsidRDefault="00462560" w:rsidP="007820A2">
            <w:pPr>
              <w:pStyle w:val="Default"/>
            </w:pPr>
          </w:p>
        </w:tc>
        <w:tc>
          <w:tcPr>
            <w:tcW w:w="1590" w:type="dxa"/>
          </w:tcPr>
          <w:p w14:paraId="40AB5B7B" w14:textId="691DD194" w:rsidR="00462560" w:rsidRPr="007820A2" w:rsidRDefault="00462560" w:rsidP="007820A2">
            <w:pPr>
              <w:pStyle w:val="Default"/>
            </w:pPr>
          </w:p>
        </w:tc>
      </w:tr>
      <w:tr w:rsidR="00AF1C20" w:rsidRPr="007820A2" w14:paraId="61DF7772" w14:textId="77777777" w:rsidTr="007820A2">
        <w:tc>
          <w:tcPr>
            <w:tcW w:w="1670" w:type="dxa"/>
          </w:tcPr>
          <w:p w14:paraId="47326980" w14:textId="77777777" w:rsidR="00462560" w:rsidRPr="007820A2" w:rsidRDefault="00462560" w:rsidP="007820A2">
            <w:pPr>
              <w:pStyle w:val="Default"/>
            </w:pPr>
          </w:p>
        </w:tc>
        <w:tc>
          <w:tcPr>
            <w:tcW w:w="878" w:type="dxa"/>
          </w:tcPr>
          <w:p w14:paraId="740623F8" w14:textId="77777777" w:rsidR="00462560" w:rsidRPr="007820A2" w:rsidRDefault="00462560" w:rsidP="007820A2">
            <w:pPr>
              <w:pStyle w:val="Default"/>
            </w:pPr>
          </w:p>
        </w:tc>
        <w:tc>
          <w:tcPr>
            <w:tcW w:w="963" w:type="dxa"/>
          </w:tcPr>
          <w:p w14:paraId="2A9EE472" w14:textId="77777777" w:rsidR="00462560" w:rsidRPr="007820A2" w:rsidRDefault="00462560" w:rsidP="007820A2">
            <w:pPr>
              <w:pStyle w:val="Default"/>
            </w:pPr>
          </w:p>
        </w:tc>
        <w:tc>
          <w:tcPr>
            <w:tcW w:w="1509" w:type="dxa"/>
          </w:tcPr>
          <w:p w14:paraId="2CAEACED" w14:textId="77777777" w:rsidR="00462560" w:rsidRPr="007820A2" w:rsidRDefault="00462560" w:rsidP="007820A2">
            <w:pPr>
              <w:pStyle w:val="Default"/>
            </w:pPr>
          </w:p>
        </w:tc>
        <w:tc>
          <w:tcPr>
            <w:tcW w:w="1870" w:type="dxa"/>
          </w:tcPr>
          <w:p w14:paraId="442CCCD3" w14:textId="77777777" w:rsidR="00462560" w:rsidRPr="007820A2" w:rsidRDefault="00462560" w:rsidP="007820A2">
            <w:pPr>
              <w:pStyle w:val="Default"/>
            </w:pPr>
          </w:p>
        </w:tc>
        <w:tc>
          <w:tcPr>
            <w:tcW w:w="1590" w:type="dxa"/>
          </w:tcPr>
          <w:p w14:paraId="6FDC3373" w14:textId="77777777" w:rsidR="00462560" w:rsidRPr="007820A2" w:rsidRDefault="00462560" w:rsidP="007820A2">
            <w:pPr>
              <w:pStyle w:val="Default"/>
            </w:pPr>
          </w:p>
        </w:tc>
        <w:tc>
          <w:tcPr>
            <w:tcW w:w="1590" w:type="dxa"/>
          </w:tcPr>
          <w:p w14:paraId="05BA947F" w14:textId="253EA8BD" w:rsidR="00462560" w:rsidRPr="007820A2" w:rsidRDefault="00462560" w:rsidP="007820A2">
            <w:pPr>
              <w:pStyle w:val="Default"/>
            </w:pPr>
          </w:p>
        </w:tc>
      </w:tr>
      <w:tr w:rsidR="00AF1C20" w:rsidRPr="007820A2" w14:paraId="0431DDFF" w14:textId="77777777" w:rsidTr="007820A2">
        <w:tc>
          <w:tcPr>
            <w:tcW w:w="1670" w:type="dxa"/>
          </w:tcPr>
          <w:p w14:paraId="54F629CD" w14:textId="77777777" w:rsidR="00462560" w:rsidRPr="007820A2" w:rsidRDefault="00462560" w:rsidP="007820A2">
            <w:pPr>
              <w:pStyle w:val="Default"/>
            </w:pPr>
          </w:p>
        </w:tc>
        <w:tc>
          <w:tcPr>
            <w:tcW w:w="878" w:type="dxa"/>
          </w:tcPr>
          <w:p w14:paraId="02AE9211" w14:textId="77777777" w:rsidR="00462560" w:rsidRPr="007820A2" w:rsidRDefault="00462560" w:rsidP="007820A2">
            <w:pPr>
              <w:pStyle w:val="Default"/>
            </w:pPr>
          </w:p>
        </w:tc>
        <w:tc>
          <w:tcPr>
            <w:tcW w:w="963" w:type="dxa"/>
          </w:tcPr>
          <w:p w14:paraId="7E263B90" w14:textId="77777777" w:rsidR="00462560" w:rsidRPr="007820A2" w:rsidRDefault="00462560" w:rsidP="007820A2">
            <w:pPr>
              <w:pStyle w:val="Default"/>
            </w:pPr>
          </w:p>
        </w:tc>
        <w:tc>
          <w:tcPr>
            <w:tcW w:w="1509" w:type="dxa"/>
          </w:tcPr>
          <w:p w14:paraId="1BC7F5A8" w14:textId="77777777" w:rsidR="00462560" w:rsidRPr="007820A2" w:rsidRDefault="00462560" w:rsidP="007820A2">
            <w:pPr>
              <w:pStyle w:val="Default"/>
            </w:pPr>
          </w:p>
        </w:tc>
        <w:tc>
          <w:tcPr>
            <w:tcW w:w="1870" w:type="dxa"/>
          </w:tcPr>
          <w:p w14:paraId="6127FFA0" w14:textId="77777777" w:rsidR="00462560" w:rsidRPr="007820A2" w:rsidRDefault="00462560" w:rsidP="007820A2">
            <w:pPr>
              <w:pStyle w:val="Default"/>
            </w:pPr>
          </w:p>
        </w:tc>
        <w:tc>
          <w:tcPr>
            <w:tcW w:w="1590" w:type="dxa"/>
          </w:tcPr>
          <w:p w14:paraId="60227AE7" w14:textId="77777777" w:rsidR="00462560" w:rsidRPr="007820A2" w:rsidRDefault="00462560" w:rsidP="007820A2">
            <w:pPr>
              <w:pStyle w:val="Default"/>
            </w:pPr>
          </w:p>
        </w:tc>
        <w:tc>
          <w:tcPr>
            <w:tcW w:w="1590" w:type="dxa"/>
          </w:tcPr>
          <w:p w14:paraId="568695E9" w14:textId="6DAEA5FB" w:rsidR="00462560" w:rsidRPr="007820A2" w:rsidRDefault="00462560" w:rsidP="007820A2">
            <w:pPr>
              <w:pStyle w:val="Default"/>
            </w:pPr>
          </w:p>
        </w:tc>
      </w:tr>
      <w:tr w:rsidR="00AF1C20" w:rsidRPr="007820A2" w14:paraId="5FB9B844" w14:textId="77777777" w:rsidTr="007820A2">
        <w:tc>
          <w:tcPr>
            <w:tcW w:w="1670" w:type="dxa"/>
          </w:tcPr>
          <w:p w14:paraId="081E24A8" w14:textId="77777777" w:rsidR="00462560" w:rsidRPr="007820A2" w:rsidRDefault="00462560" w:rsidP="007820A2">
            <w:pPr>
              <w:pStyle w:val="Default"/>
            </w:pPr>
          </w:p>
        </w:tc>
        <w:tc>
          <w:tcPr>
            <w:tcW w:w="878" w:type="dxa"/>
          </w:tcPr>
          <w:p w14:paraId="0770EA2C" w14:textId="77777777" w:rsidR="00462560" w:rsidRPr="007820A2" w:rsidRDefault="00462560" w:rsidP="007820A2">
            <w:pPr>
              <w:pStyle w:val="Default"/>
            </w:pPr>
          </w:p>
        </w:tc>
        <w:tc>
          <w:tcPr>
            <w:tcW w:w="963" w:type="dxa"/>
          </w:tcPr>
          <w:p w14:paraId="11D442C0" w14:textId="77777777" w:rsidR="00462560" w:rsidRPr="007820A2" w:rsidRDefault="00462560" w:rsidP="007820A2">
            <w:pPr>
              <w:pStyle w:val="Default"/>
            </w:pPr>
          </w:p>
        </w:tc>
        <w:tc>
          <w:tcPr>
            <w:tcW w:w="1509" w:type="dxa"/>
          </w:tcPr>
          <w:p w14:paraId="17116C09" w14:textId="77777777" w:rsidR="00462560" w:rsidRPr="007820A2" w:rsidRDefault="00462560" w:rsidP="007820A2">
            <w:pPr>
              <w:pStyle w:val="Default"/>
            </w:pPr>
          </w:p>
        </w:tc>
        <w:tc>
          <w:tcPr>
            <w:tcW w:w="1870" w:type="dxa"/>
          </w:tcPr>
          <w:p w14:paraId="126A5629" w14:textId="77777777" w:rsidR="00462560" w:rsidRPr="007820A2" w:rsidRDefault="00462560" w:rsidP="007820A2">
            <w:pPr>
              <w:pStyle w:val="Default"/>
            </w:pPr>
          </w:p>
        </w:tc>
        <w:tc>
          <w:tcPr>
            <w:tcW w:w="1590" w:type="dxa"/>
          </w:tcPr>
          <w:p w14:paraId="7F71C3E6" w14:textId="77777777" w:rsidR="00462560" w:rsidRPr="007820A2" w:rsidRDefault="00462560" w:rsidP="007820A2">
            <w:pPr>
              <w:pStyle w:val="Default"/>
            </w:pPr>
          </w:p>
        </w:tc>
        <w:tc>
          <w:tcPr>
            <w:tcW w:w="1590" w:type="dxa"/>
          </w:tcPr>
          <w:p w14:paraId="147821EA" w14:textId="25D1DF57" w:rsidR="00462560" w:rsidRPr="007820A2" w:rsidRDefault="00462560" w:rsidP="007820A2">
            <w:pPr>
              <w:pStyle w:val="Default"/>
            </w:pPr>
          </w:p>
        </w:tc>
      </w:tr>
    </w:tbl>
    <w:p w14:paraId="0807E755" w14:textId="0B7C70AA" w:rsidR="009D6137" w:rsidRPr="007820A2" w:rsidRDefault="009D6137" w:rsidP="007820A2">
      <w:pPr>
        <w:pStyle w:val="Default"/>
        <w:rPr>
          <w:color w:val="auto"/>
        </w:rPr>
      </w:pPr>
    </w:p>
    <w:p w14:paraId="65650A8B" w14:textId="0121B29A" w:rsidR="00A5379C" w:rsidRPr="007820A2" w:rsidRDefault="007E6F0E" w:rsidP="007820A2">
      <w:pPr>
        <w:pStyle w:val="Default"/>
        <w:rPr>
          <w:b/>
          <w:bCs/>
          <w:color w:val="auto"/>
        </w:rPr>
      </w:pPr>
      <w:r>
        <w:rPr>
          <w:b/>
          <w:bCs/>
          <w:color w:val="auto"/>
        </w:rPr>
        <w:t>LEARNING GUIDELINES (e.g., all formats</w:t>
      </w:r>
      <w:r w:rsidR="001D20A5">
        <w:rPr>
          <w:b/>
          <w:bCs/>
          <w:color w:val="auto"/>
        </w:rPr>
        <w:t>: Face-to-face, online, and hybrid</w:t>
      </w:r>
      <w:r w:rsidR="00A5379C" w:rsidRPr="007820A2">
        <w:rPr>
          <w:b/>
          <w:bCs/>
          <w:color w:val="auto"/>
        </w:rPr>
        <w:t>)</w:t>
      </w:r>
    </w:p>
    <w:p w14:paraId="242DDEE5" w14:textId="3A4FCE0F" w:rsidR="00A5379C" w:rsidRPr="007820A2" w:rsidRDefault="00A5379C" w:rsidP="007820A2">
      <w:pPr>
        <w:spacing w:after="0" w:line="240" w:lineRule="auto"/>
        <w:ind w:left="720" w:right="720"/>
        <w:rPr>
          <w:rFonts w:ascii="Times New Roman" w:hAnsi="Times New Roman" w:cs="Times New Roman"/>
          <w:i/>
          <w:sz w:val="24"/>
          <w:szCs w:val="24"/>
        </w:rPr>
      </w:pPr>
      <w:r w:rsidRPr="007820A2">
        <w:rPr>
          <w:rFonts w:ascii="Times New Roman" w:hAnsi="Times New Roman" w:cs="Times New Roman"/>
          <w:i/>
          <w:sz w:val="24"/>
          <w:szCs w:val="24"/>
        </w:rPr>
        <w:t>[</w:t>
      </w:r>
      <w:r w:rsidR="001D20A5">
        <w:rPr>
          <w:rFonts w:ascii="Times New Roman" w:hAnsi="Times New Roman" w:cs="Times New Roman"/>
          <w:i/>
          <w:sz w:val="24"/>
          <w:szCs w:val="24"/>
        </w:rPr>
        <w:t>Expectations for response to student email, timely assignment feedback, posting lecture notes, discussion/interactive/experiential requirements</w:t>
      </w:r>
      <w:r w:rsidRPr="007820A2">
        <w:rPr>
          <w:rFonts w:ascii="Times New Roman" w:hAnsi="Times New Roman" w:cs="Times New Roman"/>
          <w:i/>
          <w:sz w:val="24"/>
          <w:szCs w:val="24"/>
        </w:rPr>
        <w:t>]</w:t>
      </w:r>
    </w:p>
    <w:p w14:paraId="4B70A95E" w14:textId="77777777" w:rsidR="007820A2" w:rsidRPr="007820A2" w:rsidRDefault="007820A2" w:rsidP="007820A2">
      <w:pPr>
        <w:widowControl w:val="0"/>
        <w:numPr>
          <w:ilvl w:val="0"/>
          <w:numId w:val="4"/>
        </w:numPr>
        <w:autoSpaceDE w:val="0"/>
        <w:autoSpaceDN w:val="0"/>
        <w:adjustRightInd w:val="0"/>
        <w:spacing w:after="0" w:line="240" w:lineRule="auto"/>
        <w:ind w:left="0" w:firstLine="0"/>
        <w:rPr>
          <w:rFonts w:ascii="Times New Roman" w:hAnsi="Times New Roman" w:cs="Times New Roman"/>
          <w:b/>
          <w:color w:val="262626"/>
          <w:sz w:val="24"/>
          <w:szCs w:val="24"/>
        </w:rPr>
      </w:pPr>
    </w:p>
    <w:p w14:paraId="2263F8B0" w14:textId="759760FC" w:rsidR="00A5379C" w:rsidRPr="007820A2" w:rsidRDefault="00A5379C" w:rsidP="007820A2">
      <w:pPr>
        <w:widowControl w:val="0"/>
        <w:numPr>
          <w:ilvl w:val="0"/>
          <w:numId w:val="4"/>
        </w:numPr>
        <w:autoSpaceDE w:val="0"/>
        <w:autoSpaceDN w:val="0"/>
        <w:adjustRightInd w:val="0"/>
        <w:spacing w:after="0" w:line="240" w:lineRule="auto"/>
        <w:ind w:left="0" w:firstLine="0"/>
        <w:rPr>
          <w:rFonts w:ascii="Times New Roman" w:hAnsi="Times New Roman" w:cs="Times New Roman"/>
          <w:b/>
          <w:color w:val="262626"/>
          <w:sz w:val="24"/>
          <w:szCs w:val="24"/>
        </w:rPr>
      </w:pPr>
      <w:r w:rsidRPr="007820A2">
        <w:rPr>
          <w:rFonts w:ascii="Times New Roman" w:hAnsi="Times New Roman" w:cs="Times New Roman"/>
          <w:b/>
          <w:color w:val="262626"/>
          <w:sz w:val="24"/>
          <w:szCs w:val="24"/>
        </w:rPr>
        <w:t>COURSE WORKLOAD STATEMENT</w:t>
      </w:r>
    </w:p>
    <w:p w14:paraId="7510A429" w14:textId="4C6EB9D2" w:rsidR="007820A2" w:rsidRDefault="00A5379C" w:rsidP="00F54F5F">
      <w:pPr>
        <w:widowControl w:val="0"/>
        <w:autoSpaceDE w:val="0"/>
        <w:autoSpaceDN w:val="0"/>
        <w:adjustRightInd w:val="0"/>
        <w:spacing w:after="0" w:line="240" w:lineRule="auto"/>
        <w:rPr>
          <w:rFonts w:ascii="Times New Roman" w:hAnsi="Times New Roman" w:cs="Times New Roman"/>
          <w:color w:val="262626"/>
          <w:sz w:val="24"/>
          <w:szCs w:val="24"/>
        </w:rPr>
      </w:pPr>
      <w:r w:rsidRPr="007820A2">
        <w:rPr>
          <w:rFonts w:ascii="Times New Roman" w:hAnsi="Times New Roman" w:cs="Times New Roman"/>
          <w:color w:val="262626"/>
          <w:sz w:val="24"/>
          <w:szCs w:val="24"/>
        </w:rPr>
        <w:t xml:space="preserve">Students are expected to invest considerable time outside of class in learning the material for this course. The expectation of the University of Southern Mississippi is that each week students should spend approximately 2-3 hours outside of class for every hour in class working on reading, assignments, studying, </w:t>
      </w:r>
      <w:r w:rsidR="001D20A5">
        <w:rPr>
          <w:rFonts w:ascii="Times New Roman" w:hAnsi="Times New Roman" w:cs="Times New Roman"/>
          <w:color w:val="262626"/>
          <w:sz w:val="24"/>
          <w:szCs w:val="24"/>
        </w:rPr>
        <w:t>etc</w:t>
      </w:r>
      <w:r w:rsidRPr="007820A2">
        <w:rPr>
          <w:rFonts w:ascii="Times New Roman" w:hAnsi="Times New Roman" w:cs="Times New Roman"/>
          <w:color w:val="262626"/>
          <w:sz w:val="24"/>
          <w:szCs w:val="24"/>
        </w:rPr>
        <w:t xml:space="preserve">. We realize that most students work and have family or other obligations. Time management is thus critical for student success. All students should assess their personal circumstances and talk with their advisors about the appropriate number of credit hours to take each term. Resources </w:t>
      </w:r>
      <w:r w:rsidRPr="007820A2">
        <w:rPr>
          <w:rFonts w:ascii="Times New Roman" w:hAnsi="Times New Roman" w:cs="Times New Roman"/>
          <w:color w:val="262626"/>
          <w:sz w:val="24"/>
          <w:szCs w:val="24"/>
        </w:rPr>
        <w:lastRenderedPageBreak/>
        <w:t>for a</w:t>
      </w:r>
      <w:r w:rsidR="00F54F5F">
        <w:rPr>
          <w:rFonts w:ascii="Times New Roman" w:hAnsi="Times New Roman" w:cs="Times New Roman"/>
          <w:color w:val="262626"/>
          <w:sz w:val="24"/>
          <w:szCs w:val="24"/>
        </w:rPr>
        <w:t xml:space="preserve">cademic support can be found at </w:t>
      </w:r>
      <w:hyperlink r:id="rId8" w:history="1">
        <w:r w:rsidR="00F54F5F" w:rsidRPr="00424388">
          <w:rPr>
            <w:rStyle w:val="Hyperlink"/>
            <w:rFonts w:ascii="Times New Roman" w:hAnsi="Times New Roman" w:cs="Times New Roman"/>
            <w:sz w:val="24"/>
            <w:szCs w:val="24"/>
          </w:rPr>
          <w:t>http://www.usm.edu/success</w:t>
        </w:r>
      </w:hyperlink>
      <w:r w:rsidR="00F54F5F">
        <w:rPr>
          <w:rFonts w:ascii="Times New Roman" w:hAnsi="Times New Roman" w:cs="Times New Roman"/>
          <w:color w:val="262626"/>
          <w:sz w:val="24"/>
          <w:szCs w:val="24"/>
        </w:rPr>
        <w:t xml:space="preserve">. </w:t>
      </w:r>
    </w:p>
    <w:p w14:paraId="543059D8" w14:textId="77777777" w:rsidR="00F54F5F" w:rsidRPr="007820A2" w:rsidRDefault="00F54F5F" w:rsidP="00F54F5F">
      <w:pPr>
        <w:widowControl w:val="0"/>
        <w:autoSpaceDE w:val="0"/>
        <w:autoSpaceDN w:val="0"/>
        <w:adjustRightInd w:val="0"/>
        <w:spacing w:after="0" w:line="240" w:lineRule="auto"/>
        <w:rPr>
          <w:b/>
          <w:bCs/>
        </w:rPr>
      </w:pPr>
    </w:p>
    <w:p w14:paraId="6B2CCF49" w14:textId="3C1E64DF" w:rsidR="007D2FEE" w:rsidRPr="007820A2" w:rsidRDefault="00AF1C20" w:rsidP="007820A2">
      <w:pPr>
        <w:pStyle w:val="Default"/>
        <w:rPr>
          <w:b/>
          <w:bCs/>
          <w:color w:val="auto"/>
        </w:rPr>
      </w:pPr>
      <w:r w:rsidRPr="007820A2">
        <w:rPr>
          <w:b/>
          <w:bCs/>
          <w:color w:val="auto"/>
        </w:rPr>
        <w:t>GRADING POLICY &amp; CALCUATIONS</w:t>
      </w:r>
    </w:p>
    <w:p w14:paraId="51902574" w14:textId="77777777" w:rsidR="007D2FEE" w:rsidRPr="007820A2" w:rsidRDefault="007D2FEE" w:rsidP="007820A2">
      <w:pPr>
        <w:spacing w:after="0" w:line="240" w:lineRule="auto"/>
        <w:rPr>
          <w:rFonts w:ascii="Times New Roman" w:hAnsi="Times New Roman" w:cs="Times New Roman"/>
          <w:sz w:val="24"/>
          <w:szCs w:val="24"/>
        </w:rPr>
      </w:pPr>
      <w:r w:rsidRPr="007820A2">
        <w:rPr>
          <w:rFonts w:ascii="Times New Roman" w:hAnsi="Times New Roman" w:cs="Times New Roman"/>
          <w:sz w:val="24"/>
          <w:szCs w:val="24"/>
        </w:rPr>
        <w:t>A list of possible grades at the University can be found in the Bulletin (</w:t>
      </w:r>
      <w:hyperlink r:id="rId9" w:history="1">
        <w:r w:rsidRPr="007820A2">
          <w:rPr>
            <w:rStyle w:val="Hyperlink"/>
            <w:rFonts w:ascii="Times New Roman" w:hAnsi="Times New Roman" w:cs="Times New Roman"/>
            <w:sz w:val="24"/>
            <w:szCs w:val="24"/>
          </w:rPr>
          <w:t>http://catalog.usm.edu</w:t>
        </w:r>
      </w:hyperlink>
      <w:r w:rsidRPr="007820A2">
        <w:rPr>
          <w:rFonts w:ascii="Times New Roman" w:hAnsi="Times New Roman" w:cs="Times New Roman"/>
          <w:sz w:val="24"/>
          <w:szCs w:val="24"/>
        </w:rPr>
        <w:t xml:space="preserve">). Note that students will receive an “interim grade” at the six-week point to give them an indication of their performance </w:t>
      </w:r>
      <w:r w:rsidRPr="007820A2">
        <w:rPr>
          <w:rFonts w:ascii="Times New Roman" w:hAnsi="Times New Roman" w:cs="Times New Roman"/>
          <w:i/>
          <w:sz w:val="24"/>
          <w:szCs w:val="24"/>
        </w:rPr>
        <w:t>at that point</w:t>
      </w:r>
      <w:r w:rsidRPr="007820A2">
        <w:rPr>
          <w:rFonts w:ascii="Times New Roman" w:hAnsi="Times New Roman" w:cs="Times New Roman"/>
          <w:sz w:val="24"/>
          <w:szCs w:val="24"/>
        </w:rPr>
        <w:t xml:space="preserve"> in the semester. </w:t>
      </w:r>
    </w:p>
    <w:p w14:paraId="0B986073" w14:textId="77777777" w:rsidR="001D20A5" w:rsidRDefault="001D20A5" w:rsidP="007820A2">
      <w:pPr>
        <w:spacing w:after="0" w:line="240" w:lineRule="auto"/>
        <w:rPr>
          <w:rFonts w:ascii="Times New Roman" w:hAnsi="Times New Roman" w:cs="Times New Roman"/>
          <w:sz w:val="24"/>
          <w:szCs w:val="24"/>
        </w:rPr>
      </w:pPr>
    </w:p>
    <w:p w14:paraId="0630DF89" w14:textId="672E781C" w:rsidR="007D2FEE" w:rsidRPr="007820A2" w:rsidRDefault="007D2FEE" w:rsidP="007820A2">
      <w:pPr>
        <w:spacing w:after="0" w:line="240" w:lineRule="auto"/>
        <w:rPr>
          <w:rFonts w:ascii="Times New Roman" w:hAnsi="Times New Roman" w:cs="Times New Roman"/>
          <w:sz w:val="24"/>
          <w:szCs w:val="24"/>
        </w:rPr>
      </w:pPr>
      <w:r w:rsidRPr="007820A2">
        <w:rPr>
          <w:rFonts w:ascii="Times New Roman" w:hAnsi="Times New Roman" w:cs="Times New Roman"/>
          <w:sz w:val="24"/>
          <w:szCs w:val="24"/>
        </w:rPr>
        <w:t xml:space="preserve">Students may drop a course with no penalty in </w:t>
      </w:r>
      <w:r w:rsidR="001D20A5">
        <w:rPr>
          <w:rFonts w:ascii="Times New Roman" w:hAnsi="Times New Roman" w:cs="Times New Roman"/>
          <w:sz w:val="24"/>
          <w:szCs w:val="24"/>
        </w:rPr>
        <w:t xml:space="preserve">accordance with </w:t>
      </w:r>
      <w:r w:rsidR="001D20A5" w:rsidRPr="005858C3">
        <w:rPr>
          <w:rFonts w:ascii="Times New Roman" w:hAnsi="Times New Roman" w:cs="Times New Roman"/>
          <w:sz w:val="24"/>
          <w:szCs w:val="24"/>
        </w:rPr>
        <w:t>university policy</w:t>
      </w:r>
      <w:r w:rsidR="005858C3">
        <w:rPr>
          <w:rFonts w:ascii="Times New Roman" w:hAnsi="Times New Roman" w:cs="Times New Roman"/>
          <w:sz w:val="24"/>
          <w:szCs w:val="24"/>
        </w:rPr>
        <w:t xml:space="preserve"> (</w:t>
      </w:r>
      <w:hyperlink r:id="rId10" w:history="1">
        <w:r w:rsidR="005858C3" w:rsidRPr="00424388">
          <w:rPr>
            <w:rStyle w:val="Hyperlink"/>
            <w:rFonts w:ascii="Times New Roman" w:hAnsi="Times New Roman" w:cs="Times New Roman"/>
            <w:sz w:val="24"/>
            <w:szCs w:val="24"/>
          </w:rPr>
          <w:t>https://www.usm.edu/success/adding-dropping-or-withdrawing-classes</w:t>
        </w:r>
      </w:hyperlink>
      <w:r w:rsidR="005858C3">
        <w:rPr>
          <w:rFonts w:ascii="Times New Roman" w:hAnsi="Times New Roman" w:cs="Times New Roman"/>
          <w:sz w:val="24"/>
          <w:szCs w:val="24"/>
        </w:rPr>
        <w:t>)</w:t>
      </w:r>
      <w:r w:rsidRPr="005858C3">
        <w:rPr>
          <w:rFonts w:ascii="Times New Roman" w:hAnsi="Times New Roman" w:cs="Times New Roman"/>
          <w:sz w:val="24"/>
          <w:szCs w:val="24"/>
        </w:rPr>
        <w:t>.</w:t>
      </w:r>
      <w:r w:rsidR="005858C3">
        <w:rPr>
          <w:rFonts w:ascii="Times New Roman" w:hAnsi="Times New Roman" w:cs="Times New Roman"/>
          <w:sz w:val="24"/>
          <w:szCs w:val="24"/>
        </w:rPr>
        <w:t xml:space="preserve"> </w:t>
      </w:r>
      <w:r w:rsidRPr="005858C3">
        <w:rPr>
          <w:rFonts w:ascii="Times New Roman" w:hAnsi="Times New Roman" w:cs="Times New Roman"/>
          <w:sz w:val="24"/>
          <w:szCs w:val="24"/>
        </w:rPr>
        <w:t xml:space="preserve"> If students wish to leave a course with a grade of “W” (for “withdrawal”)</w:t>
      </w:r>
      <w:r w:rsidR="001D20A5" w:rsidRPr="005858C3">
        <w:rPr>
          <w:rFonts w:ascii="Times New Roman" w:hAnsi="Times New Roman" w:cs="Times New Roman"/>
          <w:sz w:val="24"/>
          <w:szCs w:val="24"/>
        </w:rPr>
        <w:t xml:space="preserve"> in accordance with university policy</w:t>
      </w:r>
      <w:r w:rsidR="005858C3">
        <w:rPr>
          <w:rFonts w:ascii="Times New Roman" w:hAnsi="Times New Roman" w:cs="Times New Roman"/>
          <w:sz w:val="24"/>
          <w:szCs w:val="24"/>
        </w:rPr>
        <w:t xml:space="preserve"> (</w:t>
      </w:r>
      <w:hyperlink r:id="rId11" w:history="1">
        <w:r w:rsidR="005858C3" w:rsidRPr="00424388">
          <w:rPr>
            <w:rStyle w:val="Hyperlink"/>
            <w:rFonts w:ascii="Times New Roman" w:hAnsi="Times New Roman" w:cs="Times New Roman"/>
            <w:sz w:val="24"/>
            <w:szCs w:val="24"/>
          </w:rPr>
          <w:t>https://www.usm.edu/registrar/withdrawal-policy</w:t>
        </w:r>
      </w:hyperlink>
      <w:r w:rsidR="005858C3">
        <w:rPr>
          <w:rFonts w:ascii="Times New Roman" w:hAnsi="Times New Roman" w:cs="Times New Roman"/>
          <w:sz w:val="24"/>
          <w:szCs w:val="24"/>
        </w:rPr>
        <w:t>)</w:t>
      </w:r>
      <w:r w:rsidRPr="007820A2">
        <w:rPr>
          <w:rFonts w:ascii="Times New Roman" w:hAnsi="Times New Roman" w:cs="Times New Roman"/>
          <w:sz w:val="24"/>
          <w:szCs w:val="24"/>
        </w:rPr>
        <w:t>,</w:t>
      </w:r>
      <w:r w:rsidR="005858C3">
        <w:rPr>
          <w:rFonts w:ascii="Times New Roman" w:hAnsi="Times New Roman" w:cs="Times New Roman"/>
          <w:sz w:val="24"/>
          <w:szCs w:val="24"/>
        </w:rPr>
        <w:t xml:space="preserve"> </w:t>
      </w:r>
      <w:r w:rsidRPr="007820A2">
        <w:rPr>
          <w:rFonts w:ascii="Times New Roman" w:hAnsi="Times New Roman" w:cs="Times New Roman"/>
          <w:sz w:val="24"/>
          <w:szCs w:val="24"/>
        </w:rPr>
        <w:t>they may request to do so before the 50</w:t>
      </w:r>
      <w:r w:rsidRPr="007820A2">
        <w:rPr>
          <w:rFonts w:ascii="Times New Roman" w:hAnsi="Times New Roman" w:cs="Times New Roman"/>
          <w:sz w:val="24"/>
          <w:szCs w:val="24"/>
          <w:vertAlign w:val="superscript"/>
        </w:rPr>
        <w:t>th</w:t>
      </w:r>
      <w:r w:rsidRPr="007820A2">
        <w:rPr>
          <w:rFonts w:ascii="Times New Roman" w:hAnsi="Times New Roman" w:cs="Times New Roman"/>
          <w:sz w:val="24"/>
          <w:szCs w:val="24"/>
        </w:rPr>
        <w:t xml:space="preserve"> day (specific dates can be found here: </w:t>
      </w:r>
      <w:hyperlink r:id="rId12" w:history="1">
        <w:r w:rsidRPr="007820A2">
          <w:rPr>
            <w:rStyle w:val="Hyperlink"/>
            <w:rFonts w:ascii="Times New Roman" w:hAnsi="Times New Roman" w:cs="Times New Roman"/>
            <w:sz w:val="24"/>
            <w:szCs w:val="24"/>
          </w:rPr>
          <w:t>https://www.usm.edu/registrar/calendars</w:t>
        </w:r>
      </w:hyperlink>
      <w:r w:rsidRPr="007820A2">
        <w:rPr>
          <w:rFonts w:ascii="Times New Roman" w:hAnsi="Times New Roman" w:cs="Times New Roman"/>
          <w:sz w:val="24"/>
          <w:szCs w:val="24"/>
        </w:rPr>
        <w:t xml:space="preserve">).  Important note: </w:t>
      </w:r>
      <w:r w:rsidR="00105299" w:rsidRPr="007820A2">
        <w:rPr>
          <w:rFonts w:ascii="Times New Roman" w:hAnsi="Times New Roman" w:cs="Times New Roman"/>
          <w:sz w:val="24"/>
          <w:szCs w:val="24"/>
        </w:rPr>
        <w:t>Students,</w:t>
      </w:r>
      <w:r w:rsidRPr="007820A2">
        <w:rPr>
          <w:rFonts w:ascii="Times New Roman" w:hAnsi="Times New Roman" w:cs="Times New Roman"/>
          <w:sz w:val="24"/>
          <w:szCs w:val="24"/>
        </w:rPr>
        <w:t xml:space="preserve"> who receive a grade of W </w:t>
      </w:r>
      <w:r w:rsidR="005C33D0">
        <w:rPr>
          <w:rFonts w:ascii="Times New Roman" w:hAnsi="Times New Roman" w:cs="Times New Roman"/>
          <w:sz w:val="24"/>
          <w:szCs w:val="24"/>
        </w:rPr>
        <w:t xml:space="preserve">after the official refund date, will </w:t>
      </w:r>
      <w:r w:rsidRPr="007820A2">
        <w:rPr>
          <w:rFonts w:ascii="Times New Roman" w:hAnsi="Times New Roman" w:cs="Times New Roman"/>
          <w:b/>
          <w:sz w:val="24"/>
          <w:szCs w:val="24"/>
        </w:rPr>
        <w:t xml:space="preserve">not receive </w:t>
      </w:r>
      <w:r w:rsidR="005C33D0">
        <w:rPr>
          <w:rFonts w:ascii="Times New Roman" w:hAnsi="Times New Roman" w:cs="Times New Roman"/>
          <w:b/>
          <w:sz w:val="24"/>
          <w:szCs w:val="24"/>
        </w:rPr>
        <w:t>a refund.</w:t>
      </w:r>
      <w:r w:rsidRPr="007820A2">
        <w:rPr>
          <w:rFonts w:ascii="Times New Roman" w:hAnsi="Times New Roman" w:cs="Times New Roman"/>
          <w:sz w:val="24"/>
          <w:szCs w:val="24"/>
        </w:rPr>
        <w:t xml:space="preserve"> </w:t>
      </w:r>
      <w:r w:rsidR="005C33D0">
        <w:rPr>
          <w:rFonts w:ascii="Times New Roman" w:hAnsi="Times New Roman" w:cs="Times New Roman"/>
          <w:sz w:val="24"/>
          <w:szCs w:val="24"/>
        </w:rPr>
        <w:t>Grades of “W” are</w:t>
      </w:r>
      <w:r w:rsidRPr="007820A2">
        <w:rPr>
          <w:rFonts w:ascii="Times New Roman" w:hAnsi="Times New Roman" w:cs="Times New Roman"/>
          <w:sz w:val="24"/>
          <w:szCs w:val="24"/>
        </w:rPr>
        <w:t xml:space="preserve"> permanently included on transcripts.</w:t>
      </w:r>
    </w:p>
    <w:p w14:paraId="1A4DA793" w14:textId="77777777" w:rsidR="00F54F5F" w:rsidRDefault="00F54F5F" w:rsidP="007820A2">
      <w:pPr>
        <w:spacing w:after="0" w:line="240" w:lineRule="auto"/>
        <w:rPr>
          <w:rFonts w:ascii="Times New Roman" w:hAnsi="Times New Roman" w:cs="Times New Roman"/>
          <w:sz w:val="24"/>
          <w:szCs w:val="24"/>
        </w:rPr>
      </w:pPr>
    </w:p>
    <w:p w14:paraId="36EFA86E" w14:textId="607F9A41" w:rsidR="007D2FEE" w:rsidRPr="007820A2" w:rsidRDefault="007D2FEE" w:rsidP="007820A2">
      <w:pPr>
        <w:spacing w:after="0" w:line="240" w:lineRule="auto"/>
        <w:rPr>
          <w:rFonts w:ascii="Times New Roman" w:hAnsi="Times New Roman" w:cs="Times New Roman"/>
          <w:sz w:val="24"/>
          <w:szCs w:val="24"/>
        </w:rPr>
      </w:pPr>
      <w:r w:rsidRPr="007820A2">
        <w:rPr>
          <w:rFonts w:ascii="Times New Roman" w:hAnsi="Times New Roman" w:cs="Times New Roman"/>
          <w:sz w:val="24"/>
          <w:szCs w:val="24"/>
        </w:rPr>
        <w:t xml:space="preserve">Students should be aware that “Incompletes” </w:t>
      </w:r>
      <w:proofErr w:type="gramStart"/>
      <w:r w:rsidRPr="007820A2">
        <w:rPr>
          <w:rFonts w:ascii="Times New Roman" w:hAnsi="Times New Roman" w:cs="Times New Roman"/>
          <w:sz w:val="24"/>
          <w:szCs w:val="24"/>
        </w:rPr>
        <w:t>can</w:t>
      </w:r>
      <w:proofErr w:type="gramEnd"/>
      <w:r w:rsidRPr="007820A2">
        <w:rPr>
          <w:rFonts w:ascii="Times New Roman" w:hAnsi="Times New Roman" w:cs="Times New Roman"/>
          <w:sz w:val="24"/>
          <w:szCs w:val="24"/>
        </w:rPr>
        <w:t xml:space="preserve"> only be assigned in cases of “extraordinary circumstances” beyond the student’s control. </w:t>
      </w:r>
    </w:p>
    <w:p w14:paraId="64DB927B" w14:textId="37F4FB09" w:rsidR="00AF1C20" w:rsidRPr="007820A2" w:rsidRDefault="007D2FEE" w:rsidP="007820A2">
      <w:pPr>
        <w:pStyle w:val="Default"/>
        <w:ind w:left="720" w:right="720"/>
        <w:rPr>
          <w:color w:val="auto"/>
        </w:rPr>
      </w:pPr>
      <w:r w:rsidRPr="007820A2">
        <w:rPr>
          <w:i/>
        </w:rPr>
        <w:t xml:space="preserve">[In this section, list all the requirements that will be used to calculate the students’ final grades in your course, along with the weight of each.  Provide also a grading scale that indicates which point totals and/or percentages result in which letter grade for the term.]  </w:t>
      </w:r>
      <w:r w:rsidR="00AF1C20" w:rsidRPr="007820A2">
        <w:rPr>
          <w:b/>
          <w:bCs/>
          <w:color w:val="auto"/>
        </w:rPr>
        <w:t xml:space="preserve"> </w:t>
      </w:r>
    </w:p>
    <w:p w14:paraId="375DC21F" w14:textId="77777777" w:rsidR="001D20A5" w:rsidRDefault="001D20A5" w:rsidP="007820A2">
      <w:pPr>
        <w:pStyle w:val="Default"/>
        <w:rPr>
          <w:color w:val="auto"/>
        </w:rPr>
      </w:pPr>
    </w:p>
    <w:p w14:paraId="4F2FA89A" w14:textId="77777777" w:rsidR="001D20A5" w:rsidRPr="001D20A5" w:rsidRDefault="001D20A5" w:rsidP="007820A2">
      <w:pPr>
        <w:pStyle w:val="Default"/>
        <w:rPr>
          <w:b/>
          <w:color w:val="auto"/>
        </w:rPr>
      </w:pPr>
      <w:r w:rsidRPr="001D20A5">
        <w:rPr>
          <w:b/>
          <w:color w:val="auto"/>
        </w:rPr>
        <w:t>GRADE SCALE</w:t>
      </w:r>
    </w:p>
    <w:p w14:paraId="7F0DB9D2" w14:textId="51D6AC89" w:rsidR="001D20A5" w:rsidRDefault="001D20A5" w:rsidP="007820A2">
      <w:pPr>
        <w:pStyle w:val="Default"/>
        <w:rPr>
          <w:color w:val="auto"/>
        </w:rPr>
      </w:pPr>
      <w:r>
        <w:rPr>
          <w:color w:val="auto"/>
        </w:rPr>
        <w:t>A = 90 – 100%</w:t>
      </w:r>
    </w:p>
    <w:p w14:paraId="4418A461" w14:textId="3A8D0A7E" w:rsidR="001D20A5" w:rsidRDefault="001D20A5" w:rsidP="007820A2">
      <w:pPr>
        <w:pStyle w:val="Default"/>
        <w:rPr>
          <w:color w:val="auto"/>
        </w:rPr>
      </w:pPr>
      <w:r>
        <w:rPr>
          <w:color w:val="auto"/>
        </w:rPr>
        <w:t>B = 80 – 89%</w:t>
      </w:r>
    </w:p>
    <w:p w14:paraId="78B9A7EB" w14:textId="32CC4F36" w:rsidR="001D20A5" w:rsidRDefault="001D20A5" w:rsidP="007820A2">
      <w:pPr>
        <w:pStyle w:val="Default"/>
        <w:rPr>
          <w:color w:val="auto"/>
        </w:rPr>
      </w:pPr>
      <w:r>
        <w:rPr>
          <w:color w:val="auto"/>
        </w:rPr>
        <w:t>C = 70 – 79%</w:t>
      </w:r>
    </w:p>
    <w:p w14:paraId="49CF1115" w14:textId="7EC92AA9" w:rsidR="001D20A5" w:rsidRDefault="001D20A5" w:rsidP="007820A2">
      <w:pPr>
        <w:pStyle w:val="Default"/>
        <w:rPr>
          <w:color w:val="auto"/>
        </w:rPr>
      </w:pPr>
      <w:r>
        <w:rPr>
          <w:color w:val="auto"/>
        </w:rPr>
        <w:t>D = 60 – 69%</w:t>
      </w:r>
    </w:p>
    <w:p w14:paraId="56C5BC23" w14:textId="115B1125" w:rsidR="009D6137" w:rsidRPr="007820A2" w:rsidRDefault="001D20A5" w:rsidP="007820A2">
      <w:pPr>
        <w:pStyle w:val="Default"/>
        <w:rPr>
          <w:color w:val="auto"/>
        </w:rPr>
      </w:pPr>
      <w:r>
        <w:rPr>
          <w:color w:val="auto"/>
        </w:rPr>
        <w:t>F = Below 60%</w:t>
      </w:r>
      <w:r w:rsidR="009D6137" w:rsidRPr="007820A2">
        <w:rPr>
          <w:color w:val="auto"/>
        </w:rPr>
        <w:t xml:space="preserve"> </w:t>
      </w:r>
    </w:p>
    <w:p w14:paraId="27589E6D" w14:textId="77777777" w:rsidR="001D20A5" w:rsidRDefault="001D20A5" w:rsidP="007820A2">
      <w:pPr>
        <w:pStyle w:val="Default"/>
        <w:rPr>
          <w:b/>
          <w:bCs/>
          <w:caps/>
          <w:color w:val="auto"/>
        </w:rPr>
      </w:pPr>
    </w:p>
    <w:p w14:paraId="760E964E" w14:textId="42FE0D7F" w:rsidR="009D4F9F" w:rsidRPr="007820A2" w:rsidRDefault="009D4F9F" w:rsidP="007820A2">
      <w:pPr>
        <w:pStyle w:val="Default"/>
        <w:rPr>
          <w:b/>
          <w:bCs/>
          <w:caps/>
          <w:color w:val="auto"/>
        </w:rPr>
      </w:pPr>
      <w:r w:rsidRPr="007820A2">
        <w:rPr>
          <w:b/>
          <w:bCs/>
          <w:caps/>
          <w:color w:val="auto"/>
        </w:rPr>
        <w:t>Academic INTEGRITY Statement</w:t>
      </w:r>
    </w:p>
    <w:p w14:paraId="7DB31291" w14:textId="559AC6BB" w:rsidR="009D4F9F" w:rsidRPr="007820A2" w:rsidRDefault="009D4F9F" w:rsidP="007820A2">
      <w:pPr>
        <w:spacing w:after="0" w:line="240" w:lineRule="auto"/>
        <w:rPr>
          <w:rFonts w:ascii="Times New Roman" w:hAnsi="Times New Roman" w:cs="Times New Roman"/>
          <w:sz w:val="24"/>
          <w:szCs w:val="24"/>
        </w:rPr>
      </w:pPr>
      <w:r w:rsidRPr="007820A2">
        <w:rPr>
          <w:rFonts w:ascii="Times New Roman" w:hAnsi="Times New Roman" w:cs="Times New Roman"/>
          <w:sz w:val="24"/>
          <w:szCs w:val="24"/>
        </w:rPr>
        <w:t>All students at the University of Southern Mississippi are expected to demonstrate the highest levels of</w:t>
      </w:r>
      <w:r w:rsidR="00832AB2" w:rsidRPr="007820A2">
        <w:rPr>
          <w:rFonts w:ascii="Times New Roman" w:hAnsi="Times New Roman" w:cs="Times New Roman"/>
          <w:sz w:val="24"/>
          <w:szCs w:val="24"/>
        </w:rPr>
        <w:t xml:space="preserve"> </w:t>
      </w:r>
      <w:r w:rsidRPr="007820A2">
        <w:rPr>
          <w:rFonts w:ascii="Times New Roman" w:hAnsi="Times New Roman" w:cs="Times New Roman"/>
          <w:sz w:val="24"/>
          <w:szCs w:val="24"/>
        </w:rPr>
        <w:t>academic integrity in all that they do. Forms of academic dishonesty include (but are not limited to):</w:t>
      </w:r>
    </w:p>
    <w:p w14:paraId="59DC507E"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Cheating (including copying from others’ work)</w:t>
      </w:r>
    </w:p>
    <w:p w14:paraId="7408C983"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Plagiarism (representing another person’s words or ideas as your own; failure to properly cite the source of your information, argument, or concepts)</w:t>
      </w:r>
    </w:p>
    <w:p w14:paraId="10279B55"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 xml:space="preserve">Falsification of documents </w:t>
      </w:r>
    </w:p>
    <w:p w14:paraId="5A7EBF5A"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 xml:space="preserve">Disclosure of test or other assignment content to another student </w:t>
      </w:r>
    </w:p>
    <w:p w14:paraId="4B7FD7BB"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Submission of the same paper or other assignment to more than one class without the explicit approval of all faculty members’ involved</w:t>
      </w:r>
    </w:p>
    <w:p w14:paraId="0283FA54"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Unauthorized academic collaboration with others</w:t>
      </w:r>
    </w:p>
    <w:p w14:paraId="1C271061" w14:textId="77777777" w:rsidR="009D4F9F" w:rsidRPr="007820A2" w:rsidRDefault="009D4F9F" w:rsidP="007820A2">
      <w:pPr>
        <w:numPr>
          <w:ilvl w:val="0"/>
          <w:numId w:val="3"/>
        </w:numPr>
        <w:spacing w:after="0" w:line="240" w:lineRule="auto"/>
        <w:ind w:left="360"/>
        <w:rPr>
          <w:rFonts w:ascii="Times New Roman" w:hAnsi="Times New Roman" w:cs="Times New Roman"/>
          <w:sz w:val="24"/>
          <w:szCs w:val="24"/>
        </w:rPr>
      </w:pPr>
      <w:r w:rsidRPr="007820A2">
        <w:rPr>
          <w:rFonts w:ascii="Times New Roman" w:hAnsi="Times New Roman" w:cs="Times New Roman"/>
          <w:sz w:val="24"/>
          <w:szCs w:val="24"/>
        </w:rPr>
        <w:t>Conspiracy to engage in academic misconduct</w:t>
      </w:r>
    </w:p>
    <w:p w14:paraId="21AC24FF" w14:textId="77777777" w:rsidR="009D4F9F" w:rsidRPr="007820A2" w:rsidRDefault="009D4F9F" w:rsidP="007820A2">
      <w:pPr>
        <w:spacing w:after="0" w:line="240" w:lineRule="auto"/>
        <w:rPr>
          <w:rFonts w:ascii="Times New Roman" w:hAnsi="Times New Roman" w:cs="Times New Roman"/>
          <w:sz w:val="24"/>
          <w:szCs w:val="24"/>
        </w:rPr>
      </w:pPr>
    </w:p>
    <w:p w14:paraId="64140740" w14:textId="6131F5C9" w:rsidR="009D4F9F" w:rsidRPr="007820A2" w:rsidRDefault="009D4F9F" w:rsidP="007820A2">
      <w:pPr>
        <w:pStyle w:val="Default"/>
        <w:rPr>
          <w:color w:val="auto"/>
        </w:rPr>
      </w:pPr>
      <w:r w:rsidRPr="007820A2">
        <w:t xml:space="preserve">Engaging in any of these behaviors or supporting others who do so </w:t>
      </w:r>
      <w:r w:rsidR="005C33D0">
        <w:t>may</w:t>
      </w:r>
      <w:r w:rsidRPr="007820A2">
        <w:t xml:space="preserve"> result in academic penalties and/or other sanctions. If a faculty member determines that a student has violated our Academic Integrity Policy, sanctions ranging from resubmission of work to course failure may occur, including the possibility of receiving a grade of “XF” for the course, which will be on the student’s transcript with the notation “Failure due to academic misconduct.”  For more details, please see the University’s Academic Integrity Policy: </w:t>
      </w:r>
      <w:hyperlink r:id="rId13" w:history="1">
        <w:r w:rsidRPr="007820A2">
          <w:rPr>
            <w:rStyle w:val="Hyperlink"/>
          </w:rPr>
          <w:t>https://www.usm.edu/institutional-policies/policy-acaf-pro-012</w:t>
        </w:r>
      </w:hyperlink>
      <w:r w:rsidRPr="007820A2">
        <w:t xml:space="preserve">  Note that repeated acts of academic misconduct will lead to expulsion from the University. </w:t>
      </w:r>
      <w:r w:rsidRPr="007820A2">
        <w:rPr>
          <w:color w:val="auto"/>
        </w:rPr>
        <w:t xml:space="preserve"> </w:t>
      </w:r>
      <w:r w:rsidR="005C33D0">
        <w:rPr>
          <w:color w:val="auto"/>
        </w:rPr>
        <w:t xml:space="preserve">Students may appeal sanctions in accordance with </w:t>
      </w:r>
      <w:r w:rsidR="005C33D0" w:rsidRPr="005858C3">
        <w:rPr>
          <w:color w:val="auto"/>
        </w:rPr>
        <w:t>university policy</w:t>
      </w:r>
      <w:r w:rsidR="005858C3">
        <w:rPr>
          <w:color w:val="auto"/>
        </w:rPr>
        <w:t xml:space="preserve"> (</w:t>
      </w:r>
      <w:hyperlink r:id="rId14" w:history="1">
        <w:r w:rsidR="005858C3" w:rsidRPr="00424388">
          <w:rPr>
            <w:rStyle w:val="Hyperlink"/>
          </w:rPr>
          <w:t>https://www.usm.edu/provost/students-guide-academic-integrity</w:t>
        </w:r>
      </w:hyperlink>
      <w:r w:rsidR="005858C3">
        <w:rPr>
          <w:color w:val="auto"/>
        </w:rPr>
        <w:t>)</w:t>
      </w:r>
      <w:r w:rsidR="005C33D0">
        <w:rPr>
          <w:color w:val="auto"/>
        </w:rPr>
        <w:t>.</w:t>
      </w:r>
      <w:r w:rsidR="005858C3">
        <w:rPr>
          <w:color w:val="auto"/>
        </w:rPr>
        <w:t xml:space="preserve"> </w:t>
      </w:r>
    </w:p>
    <w:p w14:paraId="6F67206D" w14:textId="77777777" w:rsidR="009D4F9F" w:rsidRPr="007820A2" w:rsidRDefault="009D4F9F" w:rsidP="007820A2">
      <w:pPr>
        <w:pStyle w:val="Default"/>
        <w:rPr>
          <w:b/>
          <w:bCs/>
          <w:caps/>
          <w:color w:val="auto"/>
        </w:rPr>
      </w:pPr>
    </w:p>
    <w:p w14:paraId="6253F14D" w14:textId="0E37C070" w:rsidR="009D4F9F" w:rsidRPr="007820A2" w:rsidRDefault="007D2FEE" w:rsidP="007820A2">
      <w:pPr>
        <w:pStyle w:val="Default"/>
        <w:rPr>
          <w:b/>
          <w:bCs/>
          <w:caps/>
          <w:color w:val="auto"/>
        </w:rPr>
      </w:pPr>
      <w:r w:rsidRPr="007820A2">
        <w:rPr>
          <w:b/>
          <w:bCs/>
          <w:caps/>
          <w:color w:val="auto"/>
        </w:rPr>
        <w:lastRenderedPageBreak/>
        <w:t>ACADEMIC SUPPORT RESOURCES</w:t>
      </w:r>
    </w:p>
    <w:p w14:paraId="47714809" w14:textId="5FE56539" w:rsidR="007D2FEE" w:rsidRPr="007820A2" w:rsidRDefault="007D2FEE" w:rsidP="007820A2">
      <w:pPr>
        <w:widowControl w:val="0"/>
        <w:autoSpaceDE w:val="0"/>
        <w:autoSpaceDN w:val="0"/>
        <w:adjustRightInd w:val="0"/>
        <w:spacing w:after="0" w:line="240" w:lineRule="auto"/>
        <w:rPr>
          <w:rFonts w:ascii="Times New Roman" w:hAnsi="Times New Roman" w:cs="Times New Roman"/>
          <w:color w:val="262626"/>
          <w:sz w:val="24"/>
          <w:szCs w:val="24"/>
        </w:rPr>
      </w:pPr>
      <w:r w:rsidRPr="007820A2">
        <w:rPr>
          <w:rFonts w:ascii="Times New Roman" w:hAnsi="Times New Roman" w:cs="Times New Roman"/>
          <w:sz w:val="24"/>
          <w:szCs w:val="24"/>
        </w:rPr>
        <w:t xml:space="preserve">Please see our Student Success Website:  </w:t>
      </w:r>
      <w:hyperlink r:id="rId15" w:history="1">
        <w:r w:rsidRPr="007820A2">
          <w:rPr>
            <w:rStyle w:val="Hyperlink"/>
            <w:rFonts w:ascii="Times New Roman" w:hAnsi="Times New Roman" w:cs="Times New Roman"/>
            <w:sz w:val="24"/>
            <w:szCs w:val="24"/>
          </w:rPr>
          <w:t>http://www.usm.edu/success</w:t>
        </w:r>
      </w:hyperlink>
      <w:r w:rsidRPr="007820A2">
        <w:rPr>
          <w:rFonts w:ascii="Times New Roman" w:hAnsi="Times New Roman" w:cs="Times New Roman"/>
          <w:sz w:val="24"/>
          <w:szCs w:val="24"/>
        </w:rPr>
        <w:t xml:space="preserve"> for information on where you can find tutoring and other academic assistance, as well as the location of key resources on campus.</w:t>
      </w:r>
    </w:p>
    <w:p w14:paraId="12ADF244" w14:textId="432A43A1" w:rsidR="009D4F9F" w:rsidRPr="007820A2" w:rsidRDefault="009D4F9F" w:rsidP="007820A2">
      <w:pPr>
        <w:widowControl w:val="0"/>
        <w:autoSpaceDE w:val="0"/>
        <w:autoSpaceDN w:val="0"/>
        <w:adjustRightInd w:val="0"/>
        <w:spacing w:after="0" w:line="240" w:lineRule="auto"/>
        <w:rPr>
          <w:rFonts w:ascii="Times New Roman" w:hAnsi="Times New Roman" w:cs="Times New Roman"/>
          <w:color w:val="262626"/>
          <w:sz w:val="24"/>
          <w:szCs w:val="24"/>
        </w:rPr>
      </w:pPr>
      <w:r w:rsidRPr="007820A2">
        <w:rPr>
          <w:rFonts w:ascii="Times New Roman" w:hAnsi="Times New Roman" w:cs="Times New Roman"/>
          <w:color w:val="262626"/>
          <w:sz w:val="24"/>
          <w:szCs w:val="24"/>
        </w:rPr>
        <w:t>If a student has a disability that qualifies under the Americans with Disabilities Act (ADA) and requires accommodations, he/she should contact the Office for Disability Accommodations (ODA) for information on appropriate policies and procedures.  Disabilities covered by ADA may include learning, psychiatric, physical disabilities, or chronic health disorders.  Students can contact ODA if they are not certain whether a medical condition/disability qualifies.</w:t>
      </w:r>
    </w:p>
    <w:p w14:paraId="3633CE54" w14:textId="77777777" w:rsidR="009D4F9F" w:rsidRPr="007820A2" w:rsidRDefault="009D4F9F" w:rsidP="007820A2">
      <w:pPr>
        <w:widowControl w:val="0"/>
        <w:autoSpaceDE w:val="0"/>
        <w:autoSpaceDN w:val="0"/>
        <w:adjustRightInd w:val="0"/>
        <w:spacing w:after="0" w:line="240" w:lineRule="auto"/>
        <w:rPr>
          <w:rFonts w:ascii="Times New Roman" w:hAnsi="Times New Roman" w:cs="Times New Roman"/>
          <w:color w:val="262626"/>
          <w:sz w:val="24"/>
          <w:szCs w:val="24"/>
          <w:u w:color="262626"/>
        </w:rPr>
      </w:pPr>
      <w:r w:rsidRPr="007820A2">
        <w:rPr>
          <w:rFonts w:ascii="Times New Roman" w:hAnsi="Times New Roman" w:cs="Times New Roman"/>
          <w:color w:val="262626"/>
          <w:sz w:val="24"/>
          <w:szCs w:val="24"/>
          <w:u w:val="single" w:color="262626"/>
        </w:rPr>
        <w:t>Address:</w:t>
      </w:r>
    </w:p>
    <w:p w14:paraId="3B1994AB" w14:textId="77777777" w:rsidR="00A5379C" w:rsidRPr="007820A2" w:rsidRDefault="00A5379C" w:rsidP="007820A2">
      <w:pPr>
        <w:widowControl w:val="0"/>
        <w:autoSpaceDE w:val="0"/>
        <w:autoSpaceDN w:val="0"/>
        <w:adjustRightInd w:val="0"/>
        <w:spacing w:after="0" w:line="240" w:lineRule="auto"/>
        <w:ind w:left="720"/>
        <w:rPr>
          <w:rFonts w:ascii="Times New Roman" w:hAnsi="Times New Roman" w:cs="Times New Roman"/>
          <w:color w:val="262626"/>
          <w:sz w:val="24"/>
          <w:szCs w:val="24"/>
          <w:u w:color="262626"/>
        </w:rPr>
      </w:pPr>
      <w:r w:rsidRPr="007820A2">
        <w:rPr>
          <w:rFonts w:ascii="Times New Roman" w:hAnsi="Times New Roman" w:cs="Times New Roman"/>
          <w:color w:val="262626"/>
          <w:sz w:val="24"/>
          <w:szCs w:val="24"/>
          <w:u w:color="262626"/>
        </w:rPr>
        <w:t>The University of Southern Mississippi</w:t>
      </w:r>
    </w:p>
    <w:p w14:paraId="5F694048" w14:textId="77777777" w:rsidR="00A5379C" w:rsidRPr="007820A2" w:rsidRDefault="00A5379C" w:rsidP="007820A2">
      <w:pPr>
        <w:widowControl w:val="0"/>
        <w:autoSpaceDE w:val="0"/>
        <w:autoSpaceDN w:val="0"/>
        <w:adjustRightInd w:val="0"/>
        <w:spacing w:after="0" w:line="240" w:lineRule="auto"/>
        <w:ind w:left="720"/>
        <w:rPr>
          <w:rFonts w:ascii="Times New Roman" w:hAnsi="Times New Roman" w:cs="Times New Roman"/>
          <w:color w:val="262626"/>
          <w:sz w:val="24"/>
          <w:szCs w:val="24"/>
          <w:u w:color="262626"/>
        </w:rPr>
      </w:pPr>
      <w:r w:rsidRPr="007820A2">
        <w:rPr>
          <w:rFonts w:ascii="Times New Roman" w:hAnsi="Times New Roman" w:cs="Times New Roman"/>
          <w:color w:val="262626"/>
          <w:sz w:val="24"/>
          <w:szCs w:val="24"/>
          <w:u w:color="262626"/>
        </w:rPr>
        <w:t>Office for Disability Accommodations</w:t>
      </w:r>
    </w:p>
    <w:p w14:paraId="63D3F407" w14:textId="77777777" w:rsidR="00A5379C" w:rsidRPr="007820A2" w:rsidRDefault="00A5379C" w:rsidP="007820A2">
      <w:pPr>
        <w:widowControl w:val="0"/>
        <w:autoSpaceDE w:val="0"/>
        <w:autoSpaceDN w:val="0"/>
        <w:adjustRightInd w:val="0"/>
        <w:spacing w:after="0" w:line="240" w:lineRule="auto"/>
        <w:ind w:left="720"/>
        <w:rPr>
          <w:rFonts w:ascii="Times New Roman" w:hAnsi="Times New Roman" w:cs="Times New Roman"/>
          <w:color w:val="262626"/>
          <w:sz w:val="24"/>
          <w:szCs w:val="24"/>
          <w:u w:color="262626"/>
        </w:rPr>
      </w:pPr>
      <w:r w:rsidRPr="007820A2">
        <w:rPr>
          <w:rFonts w:ascii="Times New Roman" w:hAnsi="Times New Roman" w:cs="Times New Roman"/>
          <w:color w:val="262626"/>
          <w:sz w:val="24"/>
          <w:szCs w:val="24"/>
          <w:u w:color="262626"/>
        </w:rPr>
        <w:t>118 College Drive # 8586</w:t>
      </w:r>
    </w:p>
    <w:p w14:paraId="5545A3A2" w14:textId="77777777" w:rsidR="00A5379C" w:rsidRPr="007820A2" w:rsidRDefault="00A5379C" w:rsidP="007820A2">
      <w:pPr>
        <w:widowControl w:val="0"/>
        <w:autoSpaceDE w:val="0"/>
        <w:autoSpaceDN w:val="0"/>
        <w:adjustRightInd w:val="0"/>
        <w:spacing w:after="0" w:line="240" w:lineRule="auto"/>
        <w:ind w:left="720"/>
        <w:rPr>
          <w:rFonts w:ascii="Times New Roman" w:hAnsi="Times New Roman" w:cs="Times New Roman"/>
          <w:color w:val="262626"/>
          <w:sz w:val="24"/>
          <w:szCs w:val="24"/>
          <w:u w:color="262626"/>
        </w:rPr>
      </w:pPr>
      <w:r w:rsidRPr="007820A2">
        <w:rPr>
          <w:rFonts w:ascii="Times New Roman" w:hAnsi="Times New Roman" w:cs="Times New Roman"/>
          <w:color w:val="262626"/>
          <w:sz w:val="24"/>
          <w:szCs w:val="24"/>
          <w:u w:color="262626"/>
        </w:rPr>
        <w:t>Hattiesburg, MS 39406-0001</w:t>
      </w:r>
    </w:p>
    <w:p w14:paraId="2E131232" w14:textId="77777777" w:rsidR="00A5379C" w:rsidRPr="007820A2" w:rsidRDefault="00A5379C" w:rsidP="007820A2">
      <w:pPr>
        <w:widowControl w:val="0"/>
        <w:autoSpaceDE w:val="0"/>
        <w:autoSpaceDN w:val="0"/>
        <w:adjustRightInd w:val="0"/>
        <w:spacing w:after="0" w:line="240" w:lineRule="auto"/>
        <w:ind w:left="720"/>
        <w:rPr>
          <w:rFonts w:ascii="Times New Roman" w:hAnsi="Times New Roman" w:cs="Times New Roman"/>
          <w:color w:val="262626"/>
          <w:sz w:val="24"/>
          <w:szCs w:val="24"/>
          <w:u w:val="single" w:color="262626"/>
        </w:rPr>
      </w:pPr>
    </w:p>
    <w:p w14:paraId="6BA357B0" w14:textId="0A244FB9" w:rsidR="00A5379C" w:rsidRPr="007820A2" w:rsidRDefault="00A5379C" w:rsidP="007820A2">
      <w:pPr>
        <w:widowControl w:val="0"/>
        <w:autoSpaceDE w:val="0"/>
        <w:autoSpaceDN w:val="0"/>
        <w:adjustRightInd w:val="0"/>
        <w:spacing w:after="0" w:line="240" w:lineRule="auto"/>
        <w:ind w:left="720"/>
        <w:rPr>
          <w:rFonts w:ascii="Times New Roman" w:hAnsi="Times New Roman" w:cs="Times New Roman"/>
          <w:color w:val="262626"/>
          <w:sz w:val="24"/>
          <w:szCs w:val="24"/>
          <w:u w:color="262626"/>
        </w:rPr>
      </w:pPr>
      <w:r w:rsidRPr="007820A2">
        <w:rPr>
          <w:rFonts w:ascii="Times New Roman" w:hAnsi="Times New Roman" w:cs="Times New Roman"/>
          <w:color w:val="262626"/>
          <w:sz w:val="24"/>
          <w:szCs w:val="24"/>
          <w:u w:val="single" w:color="262626"/>
        </w:rPr>
        <w:t>Voice Telephone:</w:t>
      </w:r>
      <w:r w:rsidRPr="007820A2">
        <w:rPr>
          <w:rFonts w:ascii="Times New Roman" w:hAnsi="Times New Roman" w:cs="Times New Roman"/>
          <w:color w:val="262626"/>
          <w:sz w:val="24"/>
          <w:szCs w:val="24"/>
          <w:u w:color="262626"/>
        </w:rPr>
        <w:t xml:space="preserve"> 601.266.5024 or 228.214.3232 </w:t>
      </w:r>
      <w:r w:rsidRPr="007820A2">
        <w:rPr>
          <w:rFonts w:ascii="Times New Roman" w:hAnsi="Times New Roman" w:cs="Times New Roman"/>
          <w:color w:val="262626"/>
          <w:sz w:val="24"/>
          <w:szCs w:val="24"/>
          <w:u w:val="single" w:color="262626"/>
        </w:rPr>
        <w:t>Fax</w:t>
      </w:r>
      <w:r w:rsidRPr="007820A2">
        <w:rPr>
          <w:rFonts w:ascii="Times New Roman" w:hAnsi="Times New Roman" w:cs="Times New Roman"/>
          <w:color w:val="262626"/>
          <w:sz w:val="24"/>
          <w:szCs w:val="24"/>
          <w:u w:color="262626"/>
        </w:rPr>
        <w:t>: 601.266.6035</w:t>
      </w:r>
    </w:p>
    <w:p w14:paraId="264B2BF5" w14:textId="7BF92725" w:rsidR="00A5379C" w:rsidRPr="007820A2" w:rsidRDefault="00A5379C" w:rsidP="007820A2">
      <w:pPr>
        <w:spacing w:after="0" w:line="240" w:lineRule="auto"/>
        <w:ind w:left="720"/>
        <w:rPr>
          <w:rFonts w:ascii="Times New Roman" w:hAnsi="Times New Roman" w:cs="Times New Roman"/>
          <w:sz w:val="24"/>
          <w:szCs w:val="24"/>
        </w:rPr>
      </w:pPr>
      <w:r w:rsidRPr="007820A2">
        <w:rPr>
          <w:rFonts w:ascii="Times New Roman" w:hAnsi="Times New Roman" w:cs="Times New Roman"/>
          <w:color w:val="262626"/>
          <w:sz w:val="24"/>
          <w:szCs w:val="24"/>
          <w:u w:val="single" w:color="262626"/>
        </w:rPr>
        <w:t>Individuals with hearing impairments</w:t>
      </w:r>
      <w:r w:rsidRPr="007820A2">
        <w:rPr>
          <w:rFonts w:ascii="Times New Roman" w:hAnsi="Times New Roman" w:cs="Times New Roman"/>
          <w:color w:val="262626"/>
          <w:sz w:val="24"/>
          <w:szCs w:val="24"/>
          <w:u w:color="262626"/>
        </w:rPr>
        <w:t xml:space="preserve"> can contact ODA using the Mississippi Relay Service at 1.800.582.2233 (TTY) or email ODA at </w:t>
      </w:r>
      <w:hyperlink r:id="rId16" w:history="1">
        <w:r w:rsidRPr="007820A2">
          <w:rPr>
            <w:rFonts w:ascii="Times New Roman" w:hAnsi="Times New Roman" w:cs="Times New Roman"/>
            <w:color w:val="213E5D"/>
            <w:sz w:val="24"/>
            <w:szCs w:val="24"/>
            <w:u w:val="single" w:color="213E5D"/>
          </w:rPr>
          <w:t>oda@usm.edu</w:t>
        </w:r>
      </w:hyperlink>
      <w:r w:rsidRPr="007820A2">
        <w:rPr>
          <w:rFonts w:ascii="Times New Roman" w:hAnsi="Times New Roman" w:cs="Times New Roman"/>
          <w:color w:val="262626"/>
          <w:sz w:val="24"/>
          <w:szCs w:val="24"/>
          <w:u w:color="262626"/>
        </w:rPr>
        <w:t>.</w:t>
      </w:r>
    </w:p>
    <w:p w14:paraId="14C334B0" w14:textId="77777777" w:rsidR="00A5379C" w:rsidRPr="007820A2" w:rsidRDefault="00A5379C" w:rsidP="007820A2">
      <w:pPr>
        <w:spacing w:after="0" w:line="240" w:lineRule="auto"/>
        <w:ind w:left="720" w:right="720"/>
        <w:rPr>
          <w:rFonts w:ascii="Times New Roman" w:hAnsi="Times New Roman" w:cs="Times New Roman"/>
          <w:i/>
          <w:sz w:val="24"/>
          <w:szCs w:val="24"/>
        </w:rPr>
      </w:pPr>
    </w:p>
    <w:p w14:paraId="1FC8F9E0" w14:textId="205FC2DC" w:rsidR="00A5379C" w:rsidRPr="007820A2" w:rsidRDefault="00A5379C" w:rsidP="007820A2">
      <w:pPr>
        <w:spacing w:after="0" w:line="240" w:lineRule="auto"/>
        <w:ind w:left="720" w:right="720"/>
        <w:rPr>
          <w:rFonts w:ascii="Times New Roman" w:hAnsi="Times New Roman" w:cs="Times New Roman"/>
          <w:i/>
          <w:sz w:val="24"/>
          <w:szCs w:val="24"/>
        </w:rPr>
      </w:pPr>
      <w:r w:rsidRPr="007820A2">
        <w:rPr>
          <w:rFonts w:ascii="Times New Roman" w:hAnsi="Times New Roman" w:cs="Times New Roman"/>
          <w:i/>
          <w:sz w:val="24"/>
          <w:szCs w:val="24"/>
        </w:rPr>
        <w:t>[Insert here any department or program-specific support, such as a tutoring center]</w:t>
      </w:r>
    </w:p>
    <w:p w14:paraId="764B915F" w14:textId="77777777" w:rsidR="007820A2" w:rsidRDefault="007820A2" w:rsidP="007820A2">
      <w:pPr>
        <w:widowControl w:val="0"/>
        <w:autoSpaceDE w:val="0"/>
        <w:autoSpaceDN w:val="0"/>
        <w:adjustRightInd w:val="0"/>
        <w:spacing w:after="0" w:line="240" w:lineRule="auto"/>
        <w:rPr>
          <w:rFonts w:ascii="Times New Roman" w:hAnsi="Times New Roman" w:cs="Times New Roman"/>
          <w:b/>
          <w:color w:val="262626"/>
          <w:sz w:val="24"/>
          <w:szCs w:val="24"/>
        </w:rPr>
      </w:pPr>
    </w:p>
    <w:p w14:paraId="0BCE8E97" w14:textId="1E13BD22" w:rsidR="00A5379C" w:rsidRPr="007820A2" w:rsidRDefault="00A5379C" w:rsidP="007820A2">
      <w:pPr>
        <w:widowControl w:val="0"/>
        <w:autoSpaceDE w:val="0"/>
        <w:autoSpaceDN w:val="0"/>
        <w:adjustRightInd w:val="0"/>
        <w:spacing w:after="0" w:line="240" w:lineRule="auto"/>
        <w:rPr>
          <w:rFonts w:ascii="Times New Roman" w:hAnsi="Times New Roman" w:cs="Times New Roman"/>
          <w:b/>
          <w:color w:val="262626"/>
          <w:sz w:val="24"/>
          <w:szCs w:val="24"/>
        </w:rPr>
      </w:pPr>
      <w:r w:rsidRPr="007820A2">
        <w:rPr>
          <w:rFonts w:ascii="Times New Roman" w:hAnsi="Times New Roman" w:cs="Times New Roman"/>
          <w:b/>
          <w:color w:val="262626"/>
          <w:sz w:val="24"/>
          <w:szCs w:val="24"/>
        </w:rPr>
        <w:t>IMPORTANT CLASS POLICIES</w:t>
      </w:r>
    </w:p>
    <w:p w14:paraId="47EFCA64" w14:textId="4EE8A077" w:rsidR="00A5379C" w:rsidRPr="007820A2" w:rsidRDefault="00A5379C" w:rsidP="007820A2">
      <w:pPr>
        <w:widowControl w:val="0"/>
        <w:autoSpaceDE w:val="0"/>
        <w:autoSpaceDN w:val="0"/>
        <w:adjustRightInd w:val="0"/>
        <w:spacing w:after="0" w:line="240" w:lineRule="auto"/>
        <w:ind w:left="720" w:right="720"/>
        <w:rPr>
          <w:rFonts w:ascii="Times New Roman" w:hAnsi="Times New Roman" w:cs="Times New Roman"/>
          <w:b/>
          <w:color w:val="262626"/>
          <w:sz w:val="24"/>
          <w:szCs w:val="24"/>
        </w:rPr>
      </w:pPr>
      <w:r w:rsidRPr="007820A2">
        <w:rPr>
          <w:rFonts w:ascii="Times New Roman" w:hAnsi="Times New Roman" w:cs="Times New Roman"/>
          <w:i/>
          <w:sz w:val="24"/>
          <w:szCs w:val="24"/>
        </w:rPr>
        <w:t xml:space="preserve">[This section should be used to highlight any class-specific policies, such as how late assignments will be treated, attendance/absence policies, civility in the classroom, use of electronics, </w:t>
      </w:r>
      <w:proofErr w:type="spellStart"/>
      <w:r w:rsidRPr="007820A2">
        <w:rPr>
          <w:rFonts w:ascii="Times New Roman" w:hAnsi="Times New Roman" w:cs="Times New Roman"/>
          <w:i/>
          <w:sz w:val="24"/>
          <w:szCs w:val="24"/>
        </w:rPr>
        <w:t>iClickers</w:t>
      </w:r>
      <w:proofErr w:type="spellEnd"/>
      <w:r w:rsidRPr="007820A2">
        <w:rPr>
          <w:rFonts w:ascii="Times New Roman" w:hAnsi="Times New Roman" w:cs="Times New Roman"/>
          <w:i/>
          <w:sz w:val="24"/>
          <w:szCs w:val="24"/>
        </w:rPr>
        <w:t xml:space="preserve"> and other tools, etc. For fully online courses, discussion should include expected time for response from faculty in Canvas, Netiquette, and other issues relevant to that teaching environment.]</w:t>
      </w:r>
    </w:p>
    <w:p w14:paraId="6C1CC888" w14:textId="77777777" w:rsidR="00A5379C" w:rsidRPr="007820A2" w:rsidRDefault="00A5379C" w:rsidP="007820A2">
      <w:pPr>
        <w:widowControl w:val="0"/>
        <w:autoSpaceDE w:val="0"/>
        <w:autoSpaceDN w:val="0"/>
        <w:adjustRightInd w:val="0"/>
        <w:spacing w:after="0" w:line="240" w:lineRule="auto"/>
        <w:rPr>
          <w:rFonts w:ascii="Times New Roman" w:hAnsi="Times New Roman" w:cs="Times New Roman"/>
          <w:b/>
          <w:color w:val="262626"/>
          <w:sz w:val="24"/>
          <w:szCs w:val="24"/>
        </w:rPr>
      </w:pPr>
    </w:p>
    <w:p w14:paraId="6DD3D2D5" w14:textId="0E40EEFB" w:rsidR="009D4F9F" w:rsidRPr="007820A2" w:rsidRDefault="009D4F9F" w:rsidP="007820A2">
      <w:pPr>
        <w:widowControl w:val="0"/>
        <w:autoSpaceDE w:val="0"/>
        <w:autoSpaceDN w:val="0"/>
        <w:adjustRightInd w:val="0"/>
        <w:spacing w:after="0" w:line="240" w:lineRule="auto"/>
        <w:rPr>
          <w:rFonts w:ascii="Times New Roman" w:hAnsi="Times New Roman" w:cs="Times New Roman"/>
          <w:b/>
          <w:color w:val="262626"/>
          <w:sz w:val="24"/>
          <w:szCs w:val="24"/>
        </w:rPr>
      </w:pPr>
      <w:r w:rsidRPr="007820A2">
        <w:rPr>
          <w:rFonts w:ascii="Times New Roman" w:hAnsi="Times New Roman" w:cs="Times New Roman"/>
          <w:b/>
          <w:color w:val="262626"/>
          <w:sz w:val="24"/>
          <w:szCs w:val="24"/>
        </w:rPr>
        <w:t>MENTAL WELL-BEING STATEMENT</w:t>
      </w:r>
    </w:p>
    <w:p w14:paraId="724C2F96" w14:textId="2999D19D" w:rsidR="009D4F9F" w:rsidRPr="007820A2" w:rsidRDefault="009D4F9F" w:rsidP="007820A2">
      <w:pPr>
        <w:spacing w:after="0" w:line="240" w:lineRule="auto"/>
        <w:rPr>
          <w:rFonts w:ascii="Times New Roman" w:hAnsi="Times New Roman" w:cs="Times New Roman"/>
          <w:b/>
          <w:sz w:val="24"/>
          <w:szCs w:val="24"/>
        </w:rPr>
      </w:pPr>
      <w:r w:rsidRPr="007820A2">
        <w:rPr>
          <w:rFonts w:ascii="Times New Roman" w:hAnsi="Times New Roman" w:cs="Times New Roman"/>
          <w:color w:val="262626"/>
          <w:sz w:val="24"/>
          <w:szCs w:val="24"/>
        </w:rPr>
        <w:t xml:space="preserve">Southern Miss recognizes that students sometimes experience challenges that make learning difficult. If you find that life stressors such as anxiety, depression, relationship problems, difficulty concentrating, alcohol/drug problems, or other stressful experiences are interfering with your academic or personal success, consider contacting Student Counseling Services on campus at 601.266.4829. More information is also available at </w:t>
      </w:r>
      <w:hyperlink r:id="rId17" w:history="1">
        <w:r w:rsidRPr="007820A2">
          <w:rPr>
            <w:rStyle w:val="Hyperlink"/>
            <w:rFonts w:ascii="Times New Roman" w:hAnsi="Times New Roman" w:cs="Times New Roman"/>
            <w:sz w:val="24"/>
            <w:szCs w:val="24"/>
          </w:rPr>
          <w:t>www.usm.e</w:t>
        </w:r>
        <w:r w:rsidR="00A5379C" w:rsidRPr="007820A2">
          <w:rPr>
            <w:rStyle w:val="Hyperlink"/>
            <w:rFonts w:ascii="Times New Roman" w:hAnsi="Times New Roman" w:cs="Times New Roman"/>
            <w:sz w:val="24"/>
            <w:szCs w:val="24"/>
          </w:rPr>
          <w:t>du/student-counseling- services</w:t>
        </w:r>
      </w:hyperlink>
      <w:r w:rsidR="00A5379C" w:rsidRPr="007820A2">
        <w:rPr>
          <w:rFonts w:ascii="Times New Roman" w:hAnsi="Times New Roman" w:cs="Times New Roman"/>
          <w:color w:val="262626"/>
          <w:sz w:val="24"/>
          <w:szCs w:val="24"/>
        </w:rPr>
        <w:t xml:space="preserve">. </w:t>
      </w:r>
      <w:r w:rsidRPr="007820A2">
        <w:rPr>
          <w:rFonts w:ascii="Times New Roman" w:hAnsi="Times New Roman" w:cs="Times New Roman"/>
          <w:color w:val="262626"/>
          <w:sz w:val="24"/>
          <w:szCs w:val="24"/>
        </w:rPr>
        <w:t xml:space="preserve"> All students are eligible for free, confidential individual or group counseling services. In the event of emergency, please call 911 or contact the counselor on call at 601.606.HELP (4357).</w:t>
      </w:r>
    </w:p>
    <w:p w14:paraId="2182910D" w14:textId="77777777" w:rsidR="007820A2" w:rsidRDefault="007820A2" w:rsidP="007820A2">
      <w:pPr>
        <w:pStyle w:val="Default"/>
        <w:rPr>
          <w:b/>
          <w:bCs/>
          <w:color w:val="auto"/>
        </w:rPr>
      </w:pPr>
    </w:p>
    <w:p w14:paraId="0DC913F0" w14:textId="0D3E1399" w:rsidR="009D4F9F" w:rsidRPr="007820A2" w:rsidRDefault="00AF1C20" w:rsidP="007820A2">
      <w:pPr>
        <w:pStyle w:val="Default"/>
        <w:rPr>
          <w:b/>
          <w:bCs/>
          <w:color w:val="auto"/>
        </w:rPr>
      </w:pPr>
      <w:r w:rsidRPr="007820A2">
        <w:rPr>
          <w:b/>
          <w:bCs/>
          <w:color w:val="auto"/>
        </w:rPr>
        <w:t>NON-DISCRIMINATION STATEMENT:</w:t>
      </w:r>
    </w:p>
    <w:p w14:paraId="0B627713" w14:textId="2BAC448D" w:rsidR="007820A2" w:rsidRPr="007820A2" w:rsidRDefault="007820A2" w:rsidP="007820A2">
      <w:pPr>
        <w:spacing w:after="0" w:line="240" w:lineRule="auto"/>
        <w:rPr>
          <w:rFonts w:ascii="Times New Roman" w:hAnsi="Times New Roman" w:cs="Times New Roman"/>
          <w:color w:val="000000"/>
          <w:sz w:val="24"/>
          <w:szCs w:val="24"/>
          <w:lang w:eastAsia="zh-CN"/>
        </w:rPr>
      </w:pPr>
      <w:r w:rsidRPr="007820A2">
        <w:rPr>
          <w:rFonts w:ascii="Times New Roman" w:hAnsi="Times New Roman" w:cs="Times New Roman"/>
          <w:color w:val="000000"/>
          <w:sz w:val="24"/>
          <w:szCs w:val="24"/>
          <w:lang w:eastAsia="zh-CN"/>
        </w:rPr>
        <w:t xml:space="preserve">The University of Southern Mississippi offers to all </w:t>
      </w:r>
      <w:proofErr w:type="gramStart"/>
      <w:r w:rsidRPr="007820A2">
        <w:rPr>
          <w:rFonts w:ascii="Times New Roman" w:hAnsi="Times New Roman" w:cs="Times New Roman"/>
          <w:color w:val="000000"/>
          <w:sz w:val="24"/>
          <w:szCs w:val="24"/>
          <w:lang w:eastAsia="zh-CN"/>
        </w:rPr>
        <w:t>persons</w:t>
      </w:r>
      <w:proofErr w:type="gramEnd"/>
      <w:r w:rsidRPr="007820A2">
        <w:rPr>
          <w:rFonts w:ascii="Times New Roman" w:hAnsi="Times New Roman" w:cs="Times New Roman"/>
          <w:color w:val="000000"/>
          <w:sz w:val="24"/>
          <w:szCs w:val="24"/>
          <w:lang w:eastAsia="zh-CN"/>
        </w:rPr>
        <w:t xml:space="preserve"> equal access to educational, programmatic and employment opportunities without regard to age, sex, sexual orientation, disability, pregnancy, gender identity, genetic information, religion, race, color, national origin, and/or veteran status pursuant to applicable state and federal law.</w:t>
      </w:r>
    </w:p>
    <w:p w14:paraId="02F71689" w14:textId="77777777" w:rsidR="007820A2" w:rsidRDefault="007820A2" w:rsidP="007820A2">
      <w:pPr>
        <w:pStyle w:val="Default"/>
        <w:rPr>
          <w:b/>
          <w:bCs/>
          <w:color w:val="auto"/>
        </w:rPr>
      </w:pPr>
    </w:p>
    <w:p w14:paraId="21C43952" w14:textId="2903699B" w:rsidR="00AF1C20" w:rsidRPr="007820A2" w:rsidRDefault="00AF1C20" w:rsidP="007820A2">
      <w:pPr>
        <w:pStyle w:val="Default"/>
        <w:rPr>
          <w:b/>
          <w:bCs/>
          <w:color w:val="auto"/>
        </w:rPr>
      </w:pPr>
      <w:r w:rsidRPr="007820A2">
        <w:rPr>
          <w:b/>
          <w:bCs/>
          <w:color w:val="auto"/>
        </w:rPr>
        <w:t>CONFIDENTIALITY &amp; MANDATORY REPORTING</w:t>
      </w:r>
    </w:p>
    <w:p w14:paraId="4DEB083B" w14:textId="1B2C0FCD" w:rsidR="007820A2" w:rsidRPr="007820A2" w:rsidRDefault="007820A2" w:rsidP="007820A2">
      <w:pPr>
        <w:widowControl w:val="0"/>
        <w:autoSpaceDE w:val="0"/>
        <w:autoSpaceDN w:val="0"/>
        <w:adjustRightInd w:val="0"/>
        <w:spacing w:after="0" w:line="240" w:lineRule="auto"/>
        <w:ind w:left="720" w:right="720"/>
        <w:rPr>
          <w:rFonts w:ascii="Times New Roman" w:hAnsi="Times New Roman" w:cs="Times New Roman"/>
          <w:iCs/>
          <w:color w:val="000000"/>
          <w:sz w:val="24"/>
          <w:szCs w:val="24"/>
        </w:rPr>
      </w:pPr>
      <w:r w:rsidRPr="007820A2">
        <w:rPr>
          <w:rFonts w:ascii="Times New Roman" w:hAnsi="Times New Roman" w:cs="Times New Roman"/>
          <w:i/>
          <w:sz w:val="24"/>
          <w:szCs w:val="24"/>
        </w:rPr>
        <w:t xml:space="preserve">[The Title IX office urges all instructors to consider adding this statement to your syllabi, or to read the statement during the first class meeting. Questions about this request can be directed to </w:t>
      </w:r>
      <w:hyperlink r:id="rId18" w:history="1">
        <w:r w:rsidRPr="007820A2">
          <w:rPr>
            <w:rStyle w:val="Hyperlink"/>
            <w:rFonts w:ascii="Times New Roman" w:hAnsi="Times New Roman" w:cs="Times New Roman"/>
            <w:i/>
            <w:sz w:val="24"/>
            <w:szCs w:val="24"/>
          </w:rPr>
          <w:t>Rebecca.Malley@usm.edu</w:t>
        </w:r>
      </w:hyperlink>
      <w:r w:rsidRPr="007820A2">
        <w:rPr>
          <w:rFonts w:ascii="Times New Roman" w:hAnsi="Times New Roman" w:cs="Times New Roman"/>
          <w:i/>
          <w:sz w:val="24"/>
          <w:szCs w:val="24"/>
        </w:rPr>
        <w:t xml:space="preserve"> or by calling 601.266.6804.]</w:t>
      </w:r>
    </w:p>
    <w:p w14:paraId="3A87F552" w14:textId="5300B780" w:rsidR="007820A2" w:rsidRPr="007820A2" w:rsidRDefault="007820A2" w:rsidP="007820A2">
      <w:pPr>
        <w:pStyle w:val="Default"/>
        <w:rPr>
          <w:b/>
          <w:bCs/>
          <w:color w:val="auto"/>
        </w:rPr>
      </w:pPr>
      <w:r w:rsidRPr="007820A2">
        <w:rPr>
          <w:iCs/>
        </w:rPr>
        <w:t xml:space="preserve">As an instructor, one of my responsibilities is to help create and maintain a safe learning environment on our campus.  I also have a mandatory reporting responsibility related to my role as a faculty member.  I am required to share information regarding sexual misconduct or information about a crime that may have occurred on USM’s campus with certain University officials responsible for the investigation and </w:t>
      </w:r>
      <w:r w:rsidRPr="007820A2">
        <w:rPr>
          <w:iCs/>
        </w:rPr>
        <w:lastRenderedPageBreak/>
        <w:t xml:space="preserve">remediation of sexual misconduct. </w:t>
      </w:r>
      <w:proofErr w:type="gramStart"/>
      <w:r w:rsidRPr="007820A2">
        <w:rPr>
          <w:iCs/>
        </w:rPr>
        <w:t>The information will remain private and will only be shared with those officials necessary to resolve the matter.</w:t>
      </w:r>
      <w:proofErr w:type="gramEnd"/>
      <w:r w:rsidRPr="007820A2">
        <w:rPr>
          <w:iCs/>
        </w:rPr>
        <w:t>  If you would like to speak in confidence, resources available to students include Confidential Advisors with the Shafer Center for Crisis Intervention, the Counseling Center, Student Health Services, and Clergy.  More information on these resources and University Policies is available at </w:t>
      </w:r>
      <w:hyperlink r:id="rId19" w:history="1">
        <w:r w:rsidRPr="007820A2">
          <w:rPr>
            <w:rStyle w:val="Hyperlink"/>
            <w:iCs/>
          </w:rPr>
          <w:t>https://www.usm.edu/sexual-misconduct</w:t>
        </w:r>
      </w:hyperlink>
      <w:r w:rsidRPr="007820A2">
        <w:rPr>
          <w:iCs/>
        </w:rPr>
        <w:t>.</w:t>
      </w:r>
    </w:p>
    <w:p w14:paraId="14997834" w14:textId="77777777" w:rsidR="00AF1C20" w:rsidRPr="007820A2" w:rsidRDefault="00AF1C20" w:rsidP="007820A2">
      <w:pPr>
        <w:pStyle w:val="Default"/>
        <w:rPr>
          <w:b/>
          <w:bCs/>
          <w:color w:val="auto"/>
        </w:rPr>
      </w:pPr>
    </w:p>
    <w:p w14:paraId="7D147C4C" w14:textId="77777777" w:rsidR="009D6137" w:rsidRPr="007820A2" w:rsidRDefault="009D6137" w:rsidP="007820A2">
      <w:pPr>
        <w:pStyle w:val="Default"/>
        <w:rPr>
          <w:color w:val="auto"/>
        </w:rPr>
      </w:pPr>
      <w:r w:rsidRPr="007820A2">
        <w:rPr>
          <w:b/>
          <w:bCs/>
          <w:color w:val="auto"/>
        </w:rPr>
        <w:t>TENTATIVE SCHEDULE/AGENDA</w:t>
      </w:r>
      <w:r w:rsidRPr="007820A2">
        <w:rPr>
          <w:color w:val="auto"/>
        </w:rPr>
        <w:t xml:space="preserve">: </w:t>
      </w:r>
    </w:p>
    <w:p w14:paraId="261D475D" w14:textId="025400CA" w:rsidR="007820A2" w:rsidRDefault="007820A2" w:rsidP="007820A2">
      <w:pPr>
        <w:spacing w:after="0" w:line="240" w:lineRule="auto"/>
        <w:ind w:left="720" w:right="720"/>
        <w:rPr>
          <w:rFonts w:ascii="Times New Roman" w:hAnsi="Times New Roman" w:cs="Times New Roman"/>
          <w:i/>
          <w:sz w:val="24"/>
          <w:szCs w:val="24"/>
        </w:rPr>
      </w:pPr>
      <w:r w:rsidRPr="007820A2">
        <w:rPr>
          <w:rFonts w:ascii="Times New Roman" w:hAnsi="Times New Roman" w:cs="Times New Roman"/>
          <w:i/>
          <w:sz w:val="24"/>
          <w:szCs w:val="24"/>
        </w:rPr>
        <w:t>[This section outline the course schedule for the students, ideally including the date, class preparation required, topic, and any in-class activities or obligations that day. Tests and other requirements should also be included to re-iterate when they are due. Example is below]</w:t>
      </w:r>
    </w:p>
    <w:p w14:paraId="0D68603B" w14:textId="77777777" w:rsidR="007820A2" w:rsidRPr="007820A2" w:rsidRDefault="007820A2" w:rsidP="007820A2">
      <w:pPr>
        <w:spacing w:after="0" w:line="240" w:lineRule="auto"/>
        <w:ind w:left="720" w:right="720"/>
        <w:rPr>
          <w:rFonts w:ascii="Times New Roman" w:hAnsi="Times New Roman" w:cs="Times New Roman"/>
          <w:i/>
          <w:sz w:val="24"/>
          <w:szCs w:val="24"/>
        </w:rPr>
      </w:pPr>
    </w:p>
    <w:tbl>
      <w:tblPr>
        <w:tblW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1037"/>
        <w:gridCol w:w="2184"/>
        <w:gridCol w:w="3007"/>
        <w:gridCol w:w="2628"/>
      </w:tblGrid>
      <w:tr w:rsidR="007820A2" w:rsidRPr="007820A2" w14:paraId="0B3043AD" w14:textId="77777777" w:rsidTr="00C40881">
        <w:trPr>
          <w:trHeight w:val="673"/>
        </w:trPr>
        <w:tc>
          <w:tcPr>
            <w:tcW w:w="1037" w:type="dxa"/>
            <w:shd w:val="clear" w:color="auto" w:fill="000000"/>
          </w:tcPr>
          <w:p w14:paraId="06AD03C7"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
                <w:color w:val="FFFFFF"/>
                <w:sz w:val="24"/>
                <w:szCs w:val="24"/>
              </w:rPr>
            </w:pPr>
            <w:r w:rsidRPr="007820A2">
              <w:rPr>
                <w:rFonts w:ascii="Times New Roman" w:hAnsi="Times New Roman" w:cs="Times New Roman"/>
                <w:bCs/>
                <w:i/>
                <w:color w:val="FFFFFF"/>
                <w:sz w:val="24"/>
                <w:szCs w:val="24"/>
              </w:rPr>
              <w:t>Date</w:t>
            </w:r>
          </w:p>
        </w:tc>
        <w:tc>
          <w:tcPr>
            <w:tcW w:w="2184" w:type="dxa"/>
            <w:tcBorders>
              <w:top w:val="single" w:sz="8" w:space="0" w:color="000000"/>
              <w:left w:val="single" w:sz="8" w:space="0" w:color="000000"/>
              <w:right w:val="single" w:sz="8" w:space="0" w:color="000000"/>
            </w:tcBorders>
            <w:shd w:val="clear" w:color="auto" w:fill="000000"/>
          </w:tcPr>
          <w:p w14:paraId="3676A2C4"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
                <w:color w:val="FFFFFF"/>
                <w:sz w:val="24"/>
                <w:szCs w:val="24"/>
              </w:rPr>
            </w:pPr>
            <w:r w:rsidRPr="007820A2">
              <w:rPr>
                <w:rFonts w:ascii="Times New Roman" w:hAnsi="Times New Roman" w:cs="Times New Roman"/>
                <w:bCs/>
                <w:i/>
                <w:color w:val="FFFFFF"/>
                <w:sz w:val="24"/>
                <w:szCs w:val="24"/>
              </w:rPr>
              <w:t>Topic</w:t>
            </w:r>
          </w:p>
        </w:tc>
        <w:tc>
          <w:tcPr>
            <w:tcW w:w="3007" w:type="dxa"/>
            <w:shd w:val="clear" w:color="auto" w:fill="000000"/>
          </w:tcPr>
          <w:p w14:paraId="004EF8E5"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
                <w:color w:val="FFFFFF"/>
                <w:sz w:val="24"/>
                <w:szCs w:val="24"/>
              </w:rPr>
            </w:pPr>
            <w:r w:rsidRPr="007820A2">
              <w:rPr>
                <w:rFonts w:ascii="Times New Roman" w:hAnsi="Times New Roman" w:cs="Times New Roman"/>
                <w:bCs/>
                <w:i/>
                <w:color w:val="FFFFFF"/>
                <w:sz w:val="24"/>
                <w:szCs w:val="24"/>
              </w:rPr>
              <w:t>What should be done before class</w:t>
            </w:r>
          </w:p>
        </w:tc>
        <w:tc>
          <w:tcPr>
            <w:tcW w:w="2628" w:type="dxa"/>
            <w:tcBorders>
              <w:top w:val="single" w:sz="8" w:space="0" w:color="000000"/>
              <w:left w:val="single" w:sz="8" w:space="0" w:color="000000"/>
              <w:right w:val="single" w:sz="8" w:space="0" w:color="000000"/>
            </w:tcBorders>
            <w:shd w:val="clear" w:color="auto" w:fill="000000"/>
          </w:tcPr>
          <w:p w14:paraId="70AF2BCD"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Cs/>
                <w:i/>
                <w:color w:val="FFFFFF"/>
                <w:sz w:val="24"/>
                <w:szCs w:val="24"/>
              </w:rPr>
            </w:pPr>
            <w:r w:rsidRPr="007820A2">
              <w:rPr>
                <w:rFonts w:ascii="Times New Roman" w:hAnsi="Times New Roman" w:cs="Times New Roman"/>
                <w:bCs/>
                <w:i/>
                <w:color w:val="FFFFFF"/>
                <w:sz w:val="24"/>
                <w:szCs w:val="24"/>
              </w:rPr>
              <w:t>Assignments due or other important reminders</w:t>
            </w:r>
          </w:p>
        </w:tc>
      </w:tr>
      <w:tr w:rsidR="007820A2" w:rsidRPr="007820A2" w14:paraId="340FEAFE" w14:textId="77777777" w:rsidTr="00C40881">
        <w:tc>
          <w:tcPr>
            <w:tcW w:w="1037" w:type="dxa"/>
            <w:tcBorders>
              <w:top w:val="single" w:sz="8" w:space="0" w:color="000000"/>
              <w:left w:val="single" w:sz="8" w:space="0" w:color="000000"/>
              <w:bottom w:val="single" w:sz="8" w:space="0" w:color="000000"/>
            </w:tcBorders>
            <w:shd w:val="clear" w:color="auto" w:fill="auto"/>
          </w:tcPr>
          <w:p w14:paraId="55A0EA6F"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7820A2">
              <w:rPr>
                <w:rFonts w:ascii="Times New Roman" w:hAnsi="Times New Roman" w:cs="Times New Roman"/>
                <w:b/>
                <w:bCs/>
                <w:sz w:val="24"/>
                <w:szCs w:val="24"/>
              </w:rPr>
              <w:t>TU 1/16</w:t>
            </w:r>
          </w:p>
        </w:tc>
        <w:tc>
          <w:tcPr>
            <w:tcW w:w="2184" w:type="dxa"/>
            <w:tcBorders>
              <w:top w:val="single" w:sz="8" w:space="0" w:color="000000"/>
              <w:left w:val="single" w:sz="8" w:space="0" w:color="000000"/>
              <w:bottom w:val="single" w:sz="8" w:space="0" w:color="000000"/>
              <w:right w:val="single" w:sz="8" w:space="0" w:color="000000"/>
            </w:tcBorders>
            <w:shd w:val="clear" w:color="auto" w:fill="auto"/>
          </w:tcPr>
          <w:p w14:paraId="194E9312"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820A2">
              <w:rPr>
                <w:rFonts w:ascii="Times New Roman" w:hAnsi="Times New Roman" w:cs="Times New Roman"/>
                <w:sz w:val="24"/>
                <w:szCs w:val="24"/>
              </w:rPr>
              <w:t>Introduction to the class</w:t>
            </w:r>
          </w:p>
        </w:tc>
        <w:tc>
          <w:tcPr>
            <w:tcW w:w="3007" w:type="dxa"/>
            <w:tcBorders>
              <w:top w:val="single" w:sz="8" w:space="0" w:color="000000"/>
              <w:bottom w:val="single" w:sz="8" w:space="0" w:color="000000"/>
            </w:tcBorders>
            <w:shd w:val="clear" w:color="auto" w:fill="auto"/>
          </w:tcPr>
          <w:p w14:paraId="766CDED8"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tc>
        <w:tc>
          <w:tcPr>
            <w:tcW w:w="2628" w:type="dxa"/>
            <w:tcBorders>
              <w:top w:val="single" w:sz="8" w:space="0" w:color="000000"/>
              <w:left w:val="single" w:sz="8" w:space="0" w:color="000000"/>
              <w:bottom w:val="single" w:sz="8" w:space="0" w:color="000000"/>
              <w:right w:val="single" w:sz="8" w:space="0" w:color="000000"/>
            </w:tcBorders>
            <w:shd w:val="clear" w:color="auto" w:fill="auto"/>
          </w:tcPr>
          <w:p w14:paraId="49AE0558"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sz w:val="24"/>
                <w:szCs w:val="24"/>
              </w:rPr>
            </w:pPr>
          </w:p>
        </w:tc>
      </w:tr>
      <w:tr w:rsidR="007820A2" w:rsidRPr="007820A2" w14:paraId="12B3FE70" w14:textId="77777777" w:rsidTr="00C40881">
        <w:trPr>
          <w:trHeight w:val="592"/>
        </w:trPr>
        <w:tc>
          <w:tcPr>
            <w:tcW w:w="1037" w:type="dxa"/>
            <w:shd w:val="clear" w:color="auto" w:fill="auto"/>
          </w:tcPr>
          <w:p w14:paraId="61B6ECEF"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7820A2">
              <w:rPr>
                <w:rFonts w:ascii="Times New Roman" w:hAnsi="Times New Roman" w:cs="Times New Roman"/>
                <w:b/>
                <w:bCs/>
                <w:sz w:val="24"/>
                <w:szCs w:val="24"/>
              </w:rPr>
              <w:t>TH 1/18</w:t>
            </w:r>
          </w:p>
        </w:tc>
        <w:tc>
          <w:tcPr>
            <w:tcW w:w="2184" w:type="dxa"/>
            <w:tcBorders>
              <w:left w:val="single" w:sz="8" w:space="0" w:color="000000"/>
              <w:right w:val="single" w:sz="8" w:space="0" w:color="000000"/>
            </w:tcBorders>
            <w:shd w:val="clear" w:color="auto" w:fill="auto"/>
          </w:tcPr>
          <w:p w14:paraId="41AC84C9"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820A2">
              <w:rPr>
                <w:rFonts w:ascii="Times New Roman" w:hAnsi="Times New Roman" w:cs="Times New Roman"/>
                <w:sz w:val="24"/>
                <w:szCs w:val="24"/>
              </w:rPr>
              <w:t>Reality as a social construction</w:t>
            </w:r>
          </w:p>
        </w:tc>
        <w:tc>
          <w:tcPr>
            <w:tcW w:w="3007" w:type="dxa"/>
            <w:shd w:val="clear" w:color="auto" w:fill="auto"/>
          </w:tcPr>
          <w:p w14:paraId="126EE572"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820A2">
              <w:rPr>
                <w:rFonts w:ascii="Times New Roman" w:hAnsi="Times New Roman" w:cs="Times New Roman"/>
                <w:sz w:val="24"/>
                <w:szCs w:val="24"/>
              </w:rPr>
              <w:t xml:space="preserve">Read Best, </w:t>
            </w:r>
            <w:r w:rsidRPr="007820A2">
              <w:rPr>
                <w:rFonts w:ascii="Times New Roman" w:hAnsi="Times New Roman" w:cs="Times New Roman"/>
                <w:sz w:val="24"/>
                <w:szCs w:val="24"/>
                <w:u w:val="single"/>
              </w:rPr>
              <w:t>Social Problems</w:t>
            </w:r>
            <w:r w:rsidRPr="007820A2">
              <w:rPr>
                <w:rFonts w:ascii="Times New Roman" w:hAnsi="Times New Roman" w:cs="Times New Roman"/>
                <w:sz w:val="24"/>
                <w:szCs w:val="24"/>
              </w:rPr>
              <w:t>, pgs. 3-14; watch YouTube video (see Canvas); 2 blog entries (see Canvas)</w:t>
            </w:r>
          </w:p>
        </w:tc>
        <w:tc>
          <w:tcPr>
            <w:tcW w:w="2628" w:type="dxa"/>
            <w:tcBorders>
              <w:left w:val="single" w:sz="8" w:space="0" w:color="000000"/>
              <w:right w:val="single" w:sz="8" w:space="0" w:color="000000"/>
            </w:tcBorders>
            <w:shd w:val="clear" w:color="auto" w:fill="auto"/>
          </w:tcPr>
          <w:p w14:paraId="4364F266" w14:textId="59160C8A"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January 23</w:t>
            </w:r>
            <w:r w:rsidRPr="007820A2">
              <w:rPr>
                <w:rFonts w:ascii="Times New Roman" w:hAnsi="Times New Roman" w:cs="Times New Roman"/>
                <w:color w:val="FF0000"/>
                <w:sz w:val="24"/>
                <w:szCs w:val="24"/>
              </w:rPr>
              <w:t xml:space="preserve"> is last day to drop &amp; get a refund.</w:t>
            </w:r>
          </w:p>
        </w:tc>
      </w:tr>
      <w:tr w:rsidR="007820A2" w:rsidRPr="007820A2" w14:paraId="3B11A011" w14:textId="77777777" w:rsidTr="00C40881">
        <w:trPr>
          <w:trHeight w:val="601"/>
        </w:trPr>
        <w:tc>
          <w:tcPr>
            <w:tcW w:w="1037" w:type="dxa"/>
            <w:tcBorders>
              <w:top w:val="single" w:sz="8" w:space="0" w:color="000000"/>
              <w:left w:val="single" w:sz="8" w:space="0" w:color="000000"/>
              <w:bottom w:val="single" w:sz="8" w:space="0" w:color="000000"/>
            </w:tcBorders>
            <w:shd w:val="clear" w:color="auto" w:fill="auto"/>
          </w:tcPr>
          <w:p w14:paraId="1E34B7D3"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bCs/>
                <w:sz w:val="24"/>
                <w:szCs w:val="24"/>
              </w:rPr>
            </w:pPr>
            <w:r w:rsidRPr="007820A2">
              <w:rPr>
                <w:rFonts w:ascii="Times New Roman" w:hAnsi="Times New Roman" w:cs="Times New Roman"/>
                <w:b/>
                <w:bCs/>
                <w:sz w:val="24"/>
                <w:szCs w:val="24"/>
              </w:rPr>
              <w:t>TU 1/23</w:t>
            </w:r>
          </w:p>
        </w:tc>
        <w:tc>
          <w:tcPr>
            <w:tcW w:w="2184" w:type="dxa"/>
            <w:tcBorders>
              <w:top w:val="single" w:sz="8" w:space="0" w:color="000000"/>
              <w:left w:val="single" w:sz="8" w:space="0" w:color="000000"/>
              <w:bottom w:val="single" w:sz="8" w:space="0" w:color="000000"/>
              <w:right w:val="single" w:sz="8" w:space="0" w:color="000000"/>
            </w:tcBorders>
            <w:shd w:val="clear" w:color="auto" w:fill="auto"/>
          </w:tcPr>
          <w:p w14:paraId="677CE8C6"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820A2">
              <w:rPr>
                <w:rFonts w:ascii="Times New Roman" w:hAnsi="Times New Roman" w:cs="Times New Roman"/>
                <w:sz w:val="24"/>
                <w:szCs w:val="24"/>
              </w:rPr>
              <w:t>Claims and claims-making</w:t>
            </w:r>
          </w:p>
        </w:tc>
        <w:tc>
          <w:tcPr>
            <w:tcW w:w="3007" w:type="dxa"/>
            <w:tcBorders>
              <w:top w:val="single" w:sz="8" w:space="0" w:color="000000"/>
              <w:bottom w:val="single" w:sz="8" w:space="0" w:color="000000"/>
            </w:tcBorders>
            <w:shd w:val="clear" w:color="auto" w:fill="auto"/>
          </w:tcPr>
          <w:p w14:paraId="3DFAECF0"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r w:rsidRPr="007820A2">
              <w:rPr>
                <w:rFonts w:ascii="Times New Roman" w:hAnsi="Times New Roman" w:cs="Times New Roman"/>
                <w:sz w:val="24"/>
                <w:szCs w:val="24"/>
              </w:rPr>
              <w:t xml:space="preserve">Read Best, pgs. 14-28; Read Silver, </w:t>
            </w:r>
            <w:r w:rsidRPr="007820A2">
              <w:rPr>
                <w:rFonts w:ascii="Times New Roman" w:hAnsi="Times New Roman" w:cs="Times New Roman"/>
                <w:sz w:val="24"/>
                <w:szCs w:val="24"/>
                <w:u w:val="single"/>
              </w:rPr>
              <w:t>Social Problems Readings</w:t>
            </w:r>
            <w:r w:rsidRPr="007820A2">
              <w:rPr>
                <w:rFonts w:ascii="Times New Roman" w:hAnsi="Times New Roman" w:cs="Times New Roman"/>
                <w:sz w:val="24"/>
                <w:szCs w:val="24"/>
              </w:rPr>
              <w:t>, reading #5</w:t>
            </w:r>
          </w:p>
        </w:tc>
        <w:tc>
          <w:tcPr>
            <w:tcW w:w="2628" w:type="dxa"/>
            <w:tcBorders>
              <w:top w:val="single" w:sz="8" w:space="0" w:color="000000"/>
              <w:left w:val="single" w:sz="8" w:space="0" w:color="000000"/>
              <w:bottom w:val="single" w:sz="8" w:space="0" w:color="000000"/>
              <w:right w:val="single" w:sz="8" w:space="0" w:color="000000"/>
            </w:tcBorders>
            <w:shd w:val="clear" w:color="auto" w:fill="auto"/>
          </w:tcPr>
          <w:p w14:paraId="5E609A70" w14:textId="77777777" w:rsidR="007820A2" w:rsidRPr="007820A2" w:rsidRDefault="007820A2" w:rsidP="007820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sz w:val="24"/>
                <w:szCs w:val="24"/>
              </w:rPr>
            </w:pPr>
          </w:p>
        </w:tc>
      </w:tr>
    </w:tbl>
    <w:p w14:paraId="4EAA1C87" w14:textId="3F046180" w:rsidR="009D6137" w:rsidRPr="007820A2" w:rsidRDefault="009D6137" w:rsidP="007820A2">
      <w:pPr>
        <w:pStyle w:val="Default"/>
        <w:rPr>
          <w:color w:val="auto"/>
        </w:rPr>
      </w:pPr>
    </w:p>
    <w:p w14:paraId="6F1533D8" w14:textId="77777777" w:rsidR="009D6137" w:rsidRPr="007820A2" w:rsidRDefault="009D6137" w:rsidP="007820A2">
      <w:pPr>
        <w:pStyle w:val="Default"/>
        <w:rPr>
          <w:color w:val="auto"/>
        </w:rPr>
      </w:pPr>
      <w:r w:rsidRPr="007820A2">
        <w:rPr>
          <w:color w:val="auto"/>
        </w:rPr>
        <w:t xml:space="preserve"> </w:t>
      </w:r>
    </w:p>
    <w:p w14:paraId="1B72C647" w14:textId="77777777" w:rsidR="009D6137" w:rsidRPr="007820A2" w:rsidRDefault="009D6137" w:rsidP="007820A2">
      <w:pPr>
        <w:pStyle w:val="Default"/>
        <w:rPr>
          <w:color w:val="auto"/>
        </w:rPr>
      </w:pPr>
      <w:r w:rsidRPr="007820A2">
        <w:rPr>
          <w:color w:val="auto"/>
        </w:rPr>
        <w:t xml:space="preserve"> </w:t>
      </w:r>
    </w:p>
    <w:p w14:paraId="1D2D5F59" w14:textId="77777777" w:rsidR="009D6137" w:rsidRPr="007820A2" w:rsidRDefault="009D6137" w:rsidP="007820A2">
      <w:pPr>
        <w:pStyle w:val="Default"/>
        <w:rPr>
          <w:color w:val="auto"/>
        </w:rPr>
      </w:pPr>
      <w:r w:rsidRPr="007820A2">
        <w:rPr>
          <w:color w:val="auto"/>
        </w:rPr>
        <w:t xml:space="preserve"> </w:t>
      </w:r>
    </w:p>
    <w:p w14:paraId="70AF8CBB" w14:textId="77777777" w:rsidR="009D6137" w:rsidRPr="007820A2" w:rsidRDefault="009D6137" w:rsidP="007820A2">
      <w:pPr>
        <w:pStyle w:val="Default"/>
        <w:rPr>
          <w:color w:val="auto"/>
        </w:rPr>
      </w:pPr>
      <w:r w:rsidRPr="007820A2">
        <w:rPr>
          <w:color w:val="auto"/>
        </w:rPr>
        <w:t xml:space="preserve"> </w:t>
      </w:r>
    </w:p>
    <w:p w14:paraId="19B6D301" w14:textId="77777777" w:rsidR="009D6137" w:rsidRPr="007820A2" w:rsidRDefault="009D6137" w:rsidP="007820A2">
      <w:pPr>
        <w:pStyle w:val="Default"/>
      </w:pPr>
      <w:r w:rsidRPr="007820A2">
        <w:rPr>
          <w:color w:val="auto"/>
        </w:rPr>
        <w:t xml:space="preserve"> </w:t>
      </w:r>
    </w:p>
    <w:p w14:paraId="15C98497" w14:textId="77777777" w:rsidR="009D6137" w:rsidRPr="007820A2" w:rsidRDefault="009D6137" w:rsidP="007820A2">
      <w:pPr>
        <w:spacing w:after="0" w:line="240" w:lineRule="auto"/>
        <w:rPr>
          <w:rFonts w:ascii="Times New Roman" w:hAnsi="Times New Roman" w:cs="Times New Roman"/>
          <w:color w:val="000000" w:themeColor="text1"/>
          <w:sz w:val="24"/>
          <w:szCs w:val="24"/>
        </w:rPr>
      </w:pPr>
    </w:p>
    <w:p w14:paraId="6EF0434F" w14:textId="77777777" w:rsidR="00762CDA" w:rsidRPr="007820A2" w:rsidRDefault="00762CDA" w:rsidP="007820A2">
      <w:pPr>
        <w:spacing w:after="0" w:line="240" w:lineRule="auto"/>
        <w:rPr>
          <w:rFonts w:ascii="Times New Roman" w:hAnsi="Times New Roman" w:cs="Times New Roman"/>
          <w:sz w:val="24"/>
          <w:szCs w:val="24"/>
        </w:rPr>
      </w:pPr>
    </w:p>
    <w:sectPr w:rsidR="00762CDA" w:rsidRPr="007820A2" w:rsidSect="00B11BB6">
      <w:footerReference w:type="even" r:id="rId20"/>
      <w:footerReference w:type="default" r:id="rId2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ADC6F" w14:textId="77777777" w:rsidR="000E437F" w:rsidRDefault="000E437F" w:rsidP="009D6137">
      <w:pPr>
        <w:spacing w:after="0" w:line="240" w:lineRule="auto"/>
      </w:pPr>
      <w:r>
        <w:separator/>
      </w:r>
    </w:p>
  </w:endnote>
  <w:endnote w:type="continuationSeparator" w:id="0">
    <w:p w14:paraId="7339BFA0" w14:textId="77777777" w:rsidR="000E437F" w:rsidRDefault="000E437F" w:rsidP="009D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1EC5" w14:textId="77777777" w:rsidR="00D40042" w:rsidRDefault="00551C62" w:rsidP="00A762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A41CF" w14:textId="77777777" w:rsidR="00D40042" w:rsidRDefault="000E437F" w:rsidP="00B11B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470659"/>
      <w:docPartObj>
        <w:docPartGallery w:val="Page Numbers (Bottom of Page)"/>
        <w:docPartUnique/>
      </w:docPartObj>
    </w:sdtPr>
    <w:sdtEndPr>
      <w:rPr>
        <w:noProof/>
      </w:rPr>
    </w:sdtEndPr>
    <w:sdtContent>
      <w:p w14:paraId="7CED7EA8" w14:textId="6304F98F" w:rsidR="007820A2" w:rsidRDefault="007820A2">
        <w:pPr>
          <w:pStyle w:val="Footer"/>
          <w:jc w:val="center"/>
        </w:pPr>
        <w:r>
          <w:fldChar w:fldCharType="begin"/>
        </w:r>
        <w:r>
          <w:instrText xml:space="preserve"> PAGE   \* MERGEFORMAT </w:instrText>
        </w:r>
        <w:r>
          <w:fldChar w:fldCharType="separate"/>
        </w:r>
        <w:r w:rsidR="00FB7A84">
          <w:rPr>
            <w:noProof/>
          </w:rPr>
          <w:t>2</w:t>
        </w:r>
        <w:r>
          <w:rPr>
            <w:noProof/>
          </w:rPr>
          <w:fldChar w:fldCharType="end"/>
        </w:r>
      </w:p>
    </w:sdtContent>
  </w:sdt>
  <w:p w14:paraId="2F22CCE6" w14:textId="77777777" w:rsidR="00D40042" w:rsidRPr="00A47712" w:rsidRDefault="000E437F" w:rsidP="000A3A56">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13D3" w14:textId="77777777" w:rsidR="000E437F" w:rsidRDefault="000E437F" w:rsidP="009D6137">
      <w:pPr>
        <w:spacing w:after="0" w:line="240" w:lineRule="auto"/>
      </w:pPr>
      <w:r>
        <w:separator/>
      </w:r>
    </w:p>
  </w:footnote>
  <w:footnote w:type="continuationSeparator" w:id="0">
    <w:p w14:paraId="5961BD1D" w14:textId="77777777" w:rsidR="000E437F" w:rsidRDefault="000E437F" w:rsidP="009D6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8C72E13"/>
    <w:multiLevelType w:val="hybridMultilevel"/>
    <w:tmpl w:val="8CA0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664F"/>
    <w:multiLevelType w:val="hybridMultilevel"/>
    <w:tmpl w:val="5DE481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D79F5"/>
    <w:multiLevelType w:val="hybridMultilevel"/>
    <w:tmpl w:val="F13E6ED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37"/>
    <w:rsid w:val="000122DE"/>
    <w:rsid w:val="000E437F"/>
    <w:rsid w:val="00105299"/>
    <w:rsid w:val="001A12B6"/>
    <w:rsid w:val="001D20A5"/>
    <w:rsid w:val="002A06FC"/>
    <w:rsid w:val="002B082B"/>
    <w:rsid w:val="002E0D8C"/>
    <w:rsid w:val="00427B61"/>
    <w:rsid w:val="00462560"/>
    <w:rsid w:val="004C4C1B"/>
    <w:rsid w:val="00551C62"/>
    <w:rsid w:val="005858C3"/>
    <w:rsid w:val="005C33D0"/>
    <w:rsid w:val="00651D21"/>
    <w:rsid w:val="006B23DD"/>
    <w:rsid w:val="006C480D"/>
    <w:rsid w:val="006E2DF0"/>
    <w:rsid w:val="00762CDA"/>
    <w:rsid w:val="007820A2"/>
    <w:rsid w:val="007B4B6E"/>
    <w:rsid w:val="007D2FEE"/>
    <w:rsid w:val="007E6F0E"/>
    <w:rsid w:val="007F3921"/>
    <w:rsid w:val="00832AB2"/>
    <w:rsid w:val="008425BE"/>
    <w:rsid w:val="00857955"/>
    <w:rsid w:val="009024E4"/>
    <w:rsid w:val="00947A7E"/>
    <w:rsid w:val="009D4F9F"/>
    <w:rsid w:val="009D6137"/>
    <w:rsid w:val="00A5379C"/>
    <w:rsid w:val="00AF1C20"/>
    <w:rsid w:val="00BA4728"/>
    <w:rsid w:val="00D026FC"/>
    <w:rsid w:val="00D60DC4"/>
    <w:rsid w:val="00E30939"/>
    <w:rsid w:val="00E757EB"/>
    <w:rsid w:val="00EB0231"/>
    <w:rsid w:val="00F54F5F"/>
    <w:rsid w:val="00FB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628AA0"/>
  <w14:defaultImageDpi w14:val="300"/>
  <w15:docId w15:val="{86128637-B9E5-461E-9510-2C8BDF70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1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6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137"/>
    <w:rPr>
      <w:rFonts w:eastAsiaTheme="minorHAnsi"/>
      <w:sz w:val="22"/>
      <w:szCs w:val="22"/>
    </w:rPr>
  </w:style>
  <w:style w:type="character" w:styleId="PageNumber">
    <w:name w:val="page number"/>
    <w:basedOn w:val="DefaultParagraphFont"/>
    <w:uiPriority w:val="99"/>
    <w:semiHidden/>
    <w:unhideWhenUsed/>
    <w:rsid w:val="009D6137"/>
  </w:style>
  <w:style w:type="character" w:styleId="Hyperlink">
    <w:name w:val="Hyperlink"/>
    <w:basedOn w:val="DefaultParagraphFont"/>
    <w:uiPriority w:val="99"/>
    <w:unhideWhenUsed/>
    <w:rsid w:val="009D6137"/>
    <w:rPr>
      <w:color w:val="0000FF" w:themeColor="hyperlink"/>
      <w:u w:val="single"/>
    </w:rPr>
  </w:style>
  <w:style w:type="paragraph" w:customStyle="1" w:styleId="Default">
    <w:name w:val="Default"/>
    <w:rsid w:val="009D6137"/>
    <w:pPr>
      <w:widowControl w:val="0"/>
      <w:autoSpaceDE w:val="0"/>
      <w:autoSpaceDN w:val="0"/>
      <w:adjustRightInd w:val="0"/>
    </w:pPr>
    <w:rPr>
      <w:rFonts w:ascii="Times New Roman" w:eastAsia="Times New Roman" w:hAnsi="Times New Roman" w:cs="Times New Roman"/>
      <w:color w:val="000000"/>
    </w:rPr>
  </w:style>
  <w:style w:type="paragraph" w:styleId="NoSpacing">
    <w:name w:val="No Spacing"/>
    <w:uiPriority w:val="1"/>
    <w:qFormat/>
    <w:rsid w:val="009D6137"/>
    <w:rPr>
      <w:rFonts w:ascii="Calibri" w:eastAsia="Times New Roman" w:hAnsi="Calibri" w:cs="Times New Roman"/>
      <w:sz w:val="22"/>
      <w:szCs w:val="22"/>
    </w:rPr>
  </w:style>
  <w:style w:type="paragraph" w:styleId="Header">
    <w:name w:val="header"/>
    <w:basedOn w:val="Normal"/>
    <w:link w:val="HeaderChar"/>
    <w:uiPriority w:val="99"/>
    <w:unhideWhenUsed/>
    <w:rsid w:val="009D61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6137"/>
    <w:rPr>
      <w:rFonts w:eastAsiaTheme="minorHAnsi"/>
      <w:sz w:val="22"/>
      <w:szCs w:val="22"/>
    </w:rPr>
  </w:style>
  <w:style w:type="paragraph" w:styleId="ListParagraph">
    <w:name w:val="List Paragraph"/>
    <w:basedOn w:val="Normal"/>
    <w:uiPriority w:val="34"/>
    <w:qFormat/>
    <w:rsid w:val="009D4F9F"/>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62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60"/>
    <w:rPr>
      <w:rFonts w:ascii="Segoe UI" w:eastAsiaTheme="minorHAnsi" w:hAnsi="Segoe UI" w:cs="Segoe UI"/>
      <w:sz w:val="18"/>
      <w:szCs w:val="18"/>
    </w:rPr>
  </w:style>
  <w:style w:type="character" w:customStyle="1" w:styleId="apple-style-span">
    <w:name w:val="apple-style-span"/>
    <w:basedOn w:val="DefaultParagraphFont"/>
    <w:rsid w:val="00FB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826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m.edu/success" TargetMode="External"/><Relationship Id="rId13" Type="http://schemas.openxmlformats.org/officeDocument/2006/relationships/hyperlink" Target="https://www.usm.edu/institutional-policies/policy-acaf-pro-012" TargetMode="External"/><Relationship Id="rId18" Type="http://schemas.openxmlformats.org/officeDocument/2006/relationships/hyperlink" Target="mailto:Rebecca.Malley@usm.ed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usm.tk20.com" TargetMode="External"/><Relationship Id="rId12" Type="http://schemas.openxmlformats.org/officeDocument/2006/relationships/hyperlink" Target="https://www.usm.edu/registrar/calendars" TargetMode="External"/><Relationship Id="rId17" Type="http://schemas.openxmlformats.org/officeDocument/2006/relationships/hyperlink" Target="www.usm.edu/student-counseling-%20services" TargetMode="External"/><Relationship Id="rId2" Type="http://schemas.openxmlformats.org/officeDocument/2006/relationships/styles" Target="styles.xml"/><Relationship Id="rId16" Type="http://schemas.openxmlformats.org/officeDocument/2006/relationships/hyperlink" Target="mailto:oda@usm.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m.edu/registrar/withdrawal-policy" TargetMode="External"/><Relationship Id="rId5" Type="http://schemas.openxmlformats.org/officeDocument/2006/relationships/footnotes" Target="footnotes.xml"/><Relationship Id="rId15" Type="http://schemas.openxmlformats.org/officeDocument/2006/relationships/hyperlink" Target="http://www.usm.edu/success" TargetMode="External"/><Relationship Id="rId23" Type="http://schemas.openxmlformats.org/officeDocument/2006/relationships/theme" Target="theme/theme1.xml"/><Relationship Id="rId10" Type="http://schemas.openxmlformats.org/officeDocument/2006/relationships/hyperlink" Target="https://www.usm.edu/success/adding-dropping-or-withdrawing-classes" TargetMode="External"/><Relationship Id="rId19" Type="http://schemas.openxmlformats.org/officeDocument/2006/relationships/hyperlink" Target="https://www.usm.edu/sexual-misconduct" TargetMode="External"/><Relationship Id="rId4" Type="http://schemas.openxmlformats.org/officeDocument/2006/relationships/webSettings" Target="webSettings.xml"/><Relationship Id="rId9" Type="http://schemas.openxmlformats.org/officeDocument/2006/relationships/hyperlink" Target="http://catalog.usm.edu" TargetMode="External"/><Relationship Id="rId14" Type="http://schemas.openxmlformats.org/officeDocument/2006/relationships/hyperlink" Target="https://www.usm.edu/provost/students-guide-academic-integr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Giddens</dc:creator>
  <cp:keywords/>
  <dc:description/>
  <cp:lastModifiedBy>Debbie Stoulig</cp:lastModifiedBy>
  <cp:revision>12</cp:revision>
  <cp:lastPrinted>2018-03-13T18:58:00Z</cp:lastPrinted>
  <dcterms:created xsi:type="dcterms:W3CDTF">2018-04-03T22:02:00Z</dcterms:created>
  <dcterms:modified xsi:type="dcterms:W3CDTF">2018-06-13T20:09:00Z</dcterms:modified>
</cp:coreProperties>
</file>